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7. oktobrī (prot. Nr. 41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ierobežojuma noteikšanu Latvijas Republikas–Baltkrievijas Republikas un Latvijas Republikas–Krievijas Federācijas robežas šķērsošanai, veicot starptautiskos neregulāros pasažieru pārvadājumus ar autobusiem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Ministru kabineta iekārtas likuma</w:t>
      </w:r>
      <w:r w:rsidR="00000000" w:rsidRPr="00000000" w:rsidDel="00000000">
        <w:rPr>
          <w:rtl w:val="0"/>
        </w:rPr>
        <w:t xml:space="preserve"> </w:t>
      </w:r>
      <w:r w:rsidR="00000000" w:rsidRPr="00000000" w:rsidDel="00000000">
        <w:rPr>
          <w:rtl w:val="0"/>
        </w:rPr>
        <w:t xml:space="preserve">3. pantu</w:t>
      </w:r>
      <w:r w:rsidR="00000000" w:rsidRPr="00000000" w:rsidDel="00000000">
        <w:rPr>
          <w:rtl w:val="0"/>
        </w:rPr>
        <w:t xml:space="preserve"> un </w:t>
      </w:r>
      <w:r w:rsidR="00000000" w:rsidRPr="00000000" w:rsidDel="00000000">
        <w:rPr>
          <w:rtl w:val="0"/>
        </w:rPr>
        <w:t xml:space="preserve">33. panta pirmo daļu</w:t>
      </w:r>
      <w:r w:rsidR="00000000" w:rsidRPr="00000000" w:rsidDel="00000000">
        <w:rPr>
          <w:rtl w:val="0"/>
        </w:rPr>
        <w:t xml:space="preserve">, </w:t>
      </w:r>
      <w:r w:rsidR="00000000" w:rsidRPr="00000000" w:rsidDel="00000000">
        <w:rPr>
          <w:rtl w:val="0"/>
        </w:rPr>
        <w:t xml:space="preserve">Latvijas Republikas valsts robežas likuma</w:t>
      </w:r>
      <w:r w:rsidR="00000000" w:rsidRPr="00000000" w:rsidDel="00000000">
        <w:rPr>
          <w:rtl w:val="0"/>
        </w:rPr>
        <w:t xml:space="preserve"> </w:t>
      </w:r>
      <w:r w:rsidR="00000000" w:rsidRPr="00000000" w:rsidDel="00000000">
        <w:rPr>
          <w:rtl w:val="0"/>
        </w:rPr>
        <w:t xml:space="preserve">8. panta pirmo daļu</w:t>
      </w:r>
      <w:r w:rsidR="00000000" w:rsidRPr="00000000" w:rsidDel="00000000">
        <w:rPr>
          <w:rtl w:val="0"/>
        </w:rPr>
        <w:t xml:space="preserve">, </w:t>
      </w:r>
      <w:r w:rsidR="00000000" w:rsidRPr="00000000" w:rsidDel="00000000">
        <w:rPr>
          <w:rtl w:val="0"/>
        </w:rPr>
        <w:t xml:space="preserve">10. panta divpadsmito daļu</w:t>
      </w:r>
      <w:r w:rsidR="00000000" w:rsidRPr="00000000" w:rsidDel="00000000">
        <w:rPr>
          <w:rtl w:val="0"/>
        </w:rPr>
        <w:t xml:space="preserve">, </w:t>
      </w:r>
      <w:r w:rsidR="00000000" w:rsidRPr="00000000" w:rsidDel="00000000">
        <w:rPr>
          <w:rtl w:val="0"/>
        </w:rPr>
        <w:t xml:space="preserve">26. panta piekto daļu</w:t>
      </w:r>
      <w:r w:rsidR="00000000" w:rsidRPr="00000000" w:rsidDel="00000000">
        <w:rPr>
          <w:rtl w:val="0"/>
        </w:rPr>
        <w:t xml:space="preserve">, </w:t>
      </w:r>
      <w:r w:rsidR="00000000" w:rsidRPr="00000000" w:rsidDel="00000000">
        <w:rPr>
          <w:rtl w:val="0"/>
        </w:rPr>
        <w:t xml:space="preserve">Nacionālās drošības likuma</w:t>
      </w:r>
      <w:r w:rsidR="00000000" w:rsidRPr="00000000" w:rsidDel="00000000">
        <w:rPr>
          <w:rtl w:val="0"/>
        </w:rPr>
        <w:t xml:space="preserve"> </w:t>
      </w:r>
      <w:r w:rsidR="00000000" w:rsidRPr="00000000" w:rsidDel="00000000">
        <w:rPr>
          <w:rtl w:val="0"/>
        </w:rPr>
        <w:t xml:space="preserve">3. panta otrās daļas 1. punktu</w:t>
      </w:r>
      <w:r w:rsidR="00000000" w:rsidRPr="00000000" w:rsidDel="00000000">
        <w:rPr>
          <w:rtl w:val="0"/>
        </w:rPr>
        <w:t xml:space="preserve"> un </w:t>
      </w:r>
      <w:r w:rsidR="00000000" w:rsidRPr="00000000" w:rsidDel="00000000">
        <w:rPr>
          <w:rtl w:val="0"/>
        </w:rPr>
        <w:t xml:space="preserve">10. panta otrās daļas 2. punktu</w:t>
      </w:r>
      <w:r w:rsidR="00000000" w:rsidRPr="00000000" w:rsidDel="00000000">
        <w:rPr>
          <w:rtl w:val="0"/>
        </w:rPr>
        <w:t xml:space="preserve"> un ņemot vērā nacionālās drošības apdraudējumus, ko rada organizēti pasažieru grupu ceļojumi uz Baltkrievijas Republikas un Krievijas Federācijas teritoriju un atpakaļ, kuru laikā šo grupu dalībnieki tiek pakļauti ievērojamam izlūkošanas un vervēšanas riskam, kā arī lai nodrošinātu Latvijas Republikas un citu Eiropas Savienības un Eiropas Ekonomikas zonas dalībvalstu iedzīvotāju drošību, no 2025. gada 1. novembra līdz 2026. gada 31. oktobrim noteikt aizliegumu pārvadātājiem veikt starptautiskos neregulāros pasažieru pārvadājumus ar autobusiem, šķērsojot Latvijas Republikas–Baltkrievijas Republikas un Latvijas Republikas–Krievijas Federācijas valsts robežu Pāternieku, Grebņevas un Terehovas robežšķērsošanas vietās.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nodrošināt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aizlieguma ievērošanu un kontroli Pāternieku, Grebņevas un Terehovas robežšķērsošanas vietās saskaņā ar normatīvajiem aktiem.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minētais aizliegums attiecas uz visiem pārvadātājiem, kas veic starptautiskos neregulāros pasažieru pārvadājumus ar autobusiem, neatkarīgi no pārvadātāja juridiskās personas vai transportlīdzekļa reģistrācijas valsts.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kancelejai nodrošināt sabiedrības informēšanu par pieņemto lēmumu, publicējot informāciju sabiedriskajos elektroniskajos plašsaziņas līdzekļos saskaņā ar normatīvajiem aktiem.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24-TA-2758</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24-TA-2758</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rīkojuma_projekts_24-TA-2758.docx</dc:title>
</cp:coreProperties>
</file>

<file path=docProps/custom.xml><?xml version="1.0" encoding="utf-8"?>
<Properties xmlns="http://schemas.openxmlformats.org/officeDocument/2006/custom-properties" xmlns:vt="http://schemas.openxmlformats.org/officeDocument/2006/docPropsVTypes"/>
</file>