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novembrī (prot. Nr. 48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3.1.1. specifiskā atbalsta mērķa "Attīstīt ilgtspējīgu, pret klimatu izturīgu, inteliģentu, drošu un vairākveidu TEN-T infrastruktūru" 3.1.1.2. pasākuma "Ieguldījumi TEN-T tīkla autoceļu drošībā un vides piekļūstamībā"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prioritārā virziena "Ilgtspējīga TEN-T infrastruktūra" 3.1.1. specifiskā atbalsta mērķa "Attīstīt ilgtspējīgu, pret klimatu izturīgu, inteliģentu, drošu un vairākveidu TEN-T infrastruktūru" 3.1.1.2. pasākumu "Ieguldījumi TEN-T tīkla autoceļu drošībā un vides piekļūstamībā"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satiksmes dalībnieku, tostarp mazaizsargāto satiksmes dalībnieku, drošību un vides piekļūstamību, izveidojot atbilstošu infrastruktūru Eiropas transporta tīkla (turpmāk – TEN-T) autoceļos, kur esošie risinājumi nenodrošina satiksmes drošības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satiksmes dalībnieki, tostarp mazaizsargātie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plānotais kopējais finansējums ir ne mazāks kā 78 357 629 </w:t>
      </w:r>
      <w:r w:rsidR="00000000" w:rsidRPr="00000000" w:rsidDel="00000000">
        <w:rPr>
          <w:i w:val="1"/>
          <w:rtl w:val="0"/>
        </w:rPr>
        <w:t xml:space="preserve">euro</w:t>
      </w:r>
      <w:r w:rsidR="00000000" w:rsidRPr="00000000" w:rsidDel="00000000">
        <w:rPr>
          <w:rtl w:val="0"/>
        </w:rPr>
        <w:t xml:space="preserve"> (no tā elastības finansējums – 12 384 389 </w:t>
      </w:r>
      <w:r w:rsidR="00000000" w:rsidRPr="00000000" w:rsidDel="00000000">
        <w:rPr>
          <w:i w:val="1"/>
          <w:rtl w:val="0"/>
        </w:rPr>
        <w:t xml:space="preserve">euro</w:t>
      </w:r>
      <w:r w:rsidR="00000000" w:rsidRPr="00000000" w:rsidDel="00000000">
        <w:rPr>
          <w:rtl w:val="0"/>
        </w:rPr>
        <w:t xml:space="preserve">), tai skaitā Kohēzijas fonda finansējums – 66 603 984 </w:t>
      </w:r>
      <w:r w:rsidR="00000000" w:rsidRPr="00000000" w:rsidDel="00000000">
        <w:rPr>
          <w:i w:val="1"/>
          <w:rtl w:val="0"/>
        </w:rPr>
        <w:t xml:space="preserve">euro</w:t>
      </w:r>
      <w:r w:rsidR="00000000" w:rsidRPr="00000000" w:rsidDel="00000000">
        <w:rPr>
          <w:rtl w:val="0"/>
        </w:rPr>
        <w:t xml:space="preserve"> (no tā elastības finansējums – 10 526 731 </w:t>
      </w:r>
      <w:r w:rsidR="00000000" w:rsidRPr="00000000" w:rsidDel="00000000">
        <w:rPr>
          <w:i w:val="1"/>
          <w:rtl w:val="0"/>
        </w:rPr>
        <w:t xml:space="preserve">euro</w:t>
      </w:r>
      <w:r w:rsidR="00000000" w:rsidRPr="00000000" w:rsidDel="00000000">
        <w:rPr>
          <w:rtl w:val="0"/>
        </w:rPr>
        <w:t xml:space="preserve">) un valsts budžeta finansējums – 11 753 645 </w:t>
      </w:r>
      <w:r w:rsidR="00000000" w:rsidRPr="00000000" w:rsidDel="00000000">
        <w:rPr>
          <w:i w:val="1"/>
          <w:rtl w:val="0"/>
        </w:rPr>
        <w:t xml:space="preserve">euro</w:t>
      </w:r>
      <w:r w:rsidR="00000000" w:rsidRPr="00000000" w:rsidDel="00000000">
        <w:rPr>
          <w:rtl w:val="0"/>
        </w:rPr>
        <w:t xml:space="preserve"> (no tā elastības finansējums 1 857 658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Maksimālais attiecināmais Kohēzijas fonda finansējuma apmērs nepārsniedz 85 procentus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2025. gada 31. decembrim pieejamais kopējais attiecināmais finansējums, lai slēgtu vienošanās par projekta īstenošanu, ir ne mazāks kā 65 973 240 </w:t>
      </w:r>
      <w:r w:rsidR="00000000" w:rsidRPr="00000000" w:rsidDel="00000000">
        <w:rPr>
          <w:i w:val="1"/>
          <w:rtl w:val="0"/>
        </w:rPr>
        <w:t xml:space="preserve">euro</w:t>
      </w:r>
      <w:r w:rsidR="00000000" w:rsidRPr="00000000" w:rsidDel="00000000">
        <w:rPr>
          <w:rtl w:val="0"/>
        </w:rPr>
        <w:t xml:space="preserve">, tai skaitā Eiropas Kohēzijas fonda finansējums – 56 077 253 </w:t>
      </w:r>
      <w:r w:rsidR="00000000" w:rsidRPr="00000000" w:rsidDel="00000000">
        <w:rPr>
          <w:i w:val="1"/>
          <w:rtl w:val="0"/>
        </w:rPr>
        <w:t xml:space="preserve">euro</w:t>
      </w:r>
      <w:r w:rsidR="00000000" w:rsidRPr="00000000" w:rsidDel="00000000">
        <w:rPr>
          <w:rtl w:val="0"/>
        </w:rPr>
        <w:t xml:space="preserve"> un valsts budžeta finansējums – 9 895 987 </w:t>
      </w:r>
      <w:r w:rsidR="00000000" w:rsidRPr="00000000" w:rsidDel="00000000">
        <w:rPr>
          <w:i w:val="1"/>
          <w:rtl w:val="0"/>
        </w:rPr>
        <w:t xml:space="preserve">euro</w:t>
      </w:r>
      <w:r w:rsidR="00000000" w:rsidRPr="00000000" w:rsidDel="00000000">
        <w:rPr>
          <w:rtl w:val="0"/>
        </w:rPr>
        <w:t xml:space="preserve">, vienlaikus paredzot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iznākuma rādītāja izpildi – objektu skaits, kuros uzlabota satiksmes dalībnieku, tostarp mazaizsargāto satiksmes dalībnieku, drošība un vides piekļūstamība, – vismaz 7 objekti.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iesniedzējs projekta īstenošanā, ja nepieciešams, var piesaistīt papildu publiskos līdzekļus attiecināmo izmaksu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no 2026. gada 1. janvāra var ierosināt palielināt pasākumam pieejamo kopējo finansējumu līdz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minētajam plānotajam kopējam finansējuma apmēram, nepārsniedzot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maksimālo Kohēzijas fonda finansējuma apmēru un paredzot jaunu projektu iesniegumu atlases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Kohēzijas fonda finansējumu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līdz 2029. gada 31. decembrim, sasniedzot iznākuma rādītāju – objektu skaits, kuros uzlabota satiksmes dalībnieku, tostarp mazaizsargāto, drošība un vides piekļūstamība, – vismaz 10 objekti.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minētais iznākuma rādītājs ir sasniegts, kad objekti, kuros veikti ieguldījumi satiksmes drošības uzlabošanā un vides piekļūstamībā, ir nodoti ekspluatācijā saskaņā ar būvniecības jomu reglamentējošajiem normatīvajiem aktiem un projekts ir pabeigts.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ir Satiksmes ministrija, kuras vārdā atbilstoši </w:t>
      </w:r>
      <w:r w:rsidR="00000000" w:rsidRPr="00000000" w:rsidDel="00000000">
        <w:rPr>
          <w:rtl w:val="0"/>
        </w:rPr>
        <w:t xml:space="preserve">likuma "Par autoceļiem"</w:t>
      </w:r>
      <w:r w:rsidR="00000000" w:rsidRPr="00000000" w:rsidDel="00000000">
        <w:rPr>
          <w:rtl w:val="0"/>
        </w:rPr>
        <w:t xml:space="preserve"> 7. panta trešajai daļai un Satiksmes ministrijas deleģēšanas līgumam darbojas valsts sabiedrība ar ierobežotu atbildību "Latvijas Valsts ceļi", kas veiks Satiksmes ministrijas kā projekta iesniedzēja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kas pēc projekta apstiprināšanas ir finansējuma saņēmējs (turpmāk – finansējuma saņēmējs), sagatavo projekta iesniegumu atbilstoši projektu iesniegumu atlases nolikumā noteiktajām prasībām, pievienojot projektam veikto izmaksu un ieguvumu analīzi,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var iesniegt vairākus projektu iesniegumus. Projekta iesniegumā var iekļaut vairākus objektus.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uz ieguldījumiem satiksmes drošības un vides piekļūstamības uzlabošanā vērstas darbības, kas saistītas ar divlīmeņu šķērsojumu izveidi mazaizsargātajiem satiksmes dalībniekiem TEN-T autoceļos, divlīmeņu satiksmes pārvadu izbūvi TEN-T autoceļu krustojumos, kur esošie risinājumi nenodrošina satiksmes drošības prasību izpildi, kā arī esošo krustojumu pārbūve, sabiedriskā transporta pieturvietu vides piekļūstamības uzlabošana un transportlīdzekļu svēršanai gaitā nepieciešamās infrastruktūras izbūve.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iesniegumā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projekta ekonomisko ieguvumu aprēķina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iegādes izmaksas, ja zemes iegāde ir tieši nepieciešama projektā paredzētās būvniecības īstenošanai, bet ne vairāk kā 10 procenti no projekta attiecināmo izmaksu kopsummas;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pārvada, gājēju un velosipēdistu tilta, tuneļa un rampas (turpmāk – transportbūves)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apbraucamo ceļu būvniecības, nojaukšanas un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transportbūvei vai ceļa kompleksam piegulošā inženiertīkla pārbūves izmaksas. Izmaksas attiecināmas tikai tad, ja tiek nodrošināts sertificēta būvinženiera ekspertīzes atzinums, kurā konstatēts, ka projekta ietvaros, veicot plānotos ieguldījumus noteiktās teritorijās, nav iespējams izvairīties no minētās infrastruktūras bojāšanas, pārbūves vai pārcelšanas, un ieguldījumi inženiertīkla pārbūvē tiek veikti, nemainot inženiertīkla tehniskos parametrus un neradot priekšrocības to īpašniekiem, kā arī nodrošinot atbilstību valsts atbalsta regulējumam;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krustojumu pārbūves izmaksas, lai nodrošinātu satiksmes drošības un vides piekļūstamības uzlabošanu;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esošo ceļu atjaunošanas un pārbūves izmaksas, kā arī jaunu ceļu, krustojumu, apgaismojuma līniju, pieturvietu, lietus ūdens savākšanas un attīrīšanas iekārtu izbūves izmaksas, ja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transportlīdzekļu svēršanai gaitā nepieciešamās infrastruktūras izbūve un aprīkojuma 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sabiedriskā transporta pieturvietu vides piekļūstamības uzlabošanu saistītās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mazaizsargātajiem satiksmes dalībniekiem paredzēto ceļu būvniecības izmaksas, tostarp lai novērstu infrastruktūras pārrāvumus, ar nosacījumu, ka tie nedalāmi saistīti 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labiekārtošanas izmaksas, tai skaitā apzaļumošana;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ceļu satiksmes organizācijas tehnisko līdzekļu uzstādīšanas un atjaunošanas izmaksas, piemēram, ceļa zīmes, luksofori, signālstabiņi, aizsargbarjeras, gājēju barjeras, vertikālie un horizontālie ceļa apzīmējumi;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satiksmes vadības aprīkojuma uzstādīšanas un atjaunošanas izmaksas, piemēram, meteoroloģiskās stacijas, kas nepieciešamas transportbūves un ceļa posma seguma stāvokļa un slodzes noteikšanai, un satiksmes intensitātes uzskaites punkti;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būvdarbu uzraudzības un autoruzraudzības izmaksas un attiecīgo būvspeciālistu normatīvajos aktos noteiktās obligātās apdrošināšanas izmaksas atbilstoši normatīvajiem aktiem būvspeciālistu un būvdarbu veicēju civiltiesiskās atbildības obligātās apdrošināšanas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vides piekļūstamības ekspertu konsultāciju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informācijas un publicitātes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neparedzētās izmaksas ne vairāk kā 5 procentu apmērā no kopējās tiešo attiecināmo izmaksu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autoceļu satiksmes radītā trokšņa samazināšanas izmaksas, tostarp prettrokšņa sienu vai prettrokšņa vaļņu ierīkošana, ciktāl to paredz normatīvie akti vides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un </w:t>
      </w:r>
      <w:r w:rsidR="00000000" w:rsidRPr="00000000" w:rsidDel="00000000">
        <w:rPr>
          <w:rtl w:val="0"/>
        </w:rPr>
        <w:t xml:space="preserve">19.18. </w:t>
      </w:r>
      <w:r w:rsidR="00000000" w:rsidRPr="00000000" w:rsidDel="00000000">
        <w:rPr>
          <w:rtl w:val="0"/>
        </w:rPr>
        <w:t xml:space="preserve">apakšpunktā</w:t>
      </w:r>
      <w:r w:rsidR="00000000" w:rsidRPr="00000000" w:rsidDel="00000000">
        <w:rPr>
          <w:rtl w:val="0"/>
        </w:rPr>
        <w:t xml:space="preserve">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atbilstoši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64. panta 1. punkta "c" apakšpunkta nosacījumiem, ja tos nevar atgūt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 tai skaitā izmaksas, kas pārsniedz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izmaksas ir attiecināmas no 2022. gada 25. novembra, izņemot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19.16.</w:t>
      </w:r>
      <w:r w:rsidR="00000000" w:rsidRPr="00000000" w:rsidDel="00000000">
        <w:rPr>
          <w:rtl w:val="0"/>
        </w:rPr>
        <w:t xml:space="preserve"> un </w:t>
      </w:r>
      <w:r w:rsidR="00000000" w:rsidRPr="00000000" w:rsidDel="00000000">
        <w:rPr>
          <w:rtl w:val="0"/>
        </w:rPr>
        <w:t xml:space="preserve">19.7. </w:t>
      </w:r>
      <w:r w:rsidR="00000000" w:rsidRPr="00000000" w:rsidDel="00000000">
        <w:rPr>
          <w:rtl w:val="0"/>
        </w:rPr>
        <w:t xml:space="preserve">apakšpunktā</w:t>
      </w:r>
      <w:r w:rsidR="00000000" w:rsidRPr="00000000" w:rsidDel="00000000">
        <w:rPr>
          <w:rtl w:val="0"/>
        </w:rPr>
        <w:t xml:space="preserve"> minētās izmaksas, kas ir attiecināmas, ja tās veiktas pēc 2021. gada 1. janvāra. Projekta iesniegumā neiekļauj pabeigtas darbības un finansējumu tām nepiešķir.</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projektā sasniegto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iznākuma rādītāju;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uzkrāj datus par projekta ietekmi uz horizontālā principa rādītāju – objektu skaits, kuros Kohēzijas fonda ieguldījumu rezultātā ir nodrošināta vides un informācijas pieejamība – un citiem horizontālo principu rādītājiem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izpilda attiecināmās prasības un nodrošina, ka projekts atbilst principam "Nenodarīt būtisku kaitējumu" un "Klimatdrošināšana" un Eiropas Savienības kohēzijas politikas programmā 2021.–2027. gadam noteiktajiem Eiropas Savienības un Latvijas Republikas normatīvajiem aktiem vides aizsardzības un klimata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25.2.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iznākuma rādītāja vērtību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lai pasākuma ietvaros attiecināmās izmaksas nepārklātos ar citiem valsts un ārvalstu finanšu atbalsta instrumentiem un novērš dubultā finansējuma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sasniegto rezultātu ilgtspēju vismaz 5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periodisku nodilušo konstrukciju atjaunošanu un finansējuma piešķiršanu šiem darbiem turpmākos divdesmit gadus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laikā līdz būvdarbu uzsākšanas brīdim nodrošina, ka transporta infrastruktūras izbūve paredzēta finansējuma saņēmēja īpašumā vai valdījumā, vai turējumā esošajās zemes vienībās vai ka finansējuma saņēmējam ar īpašuma vai zemes vienību īpašnieku ir noslēgta atbilstoša vienošanās par īpašuma vai zemes vienības ilgtermiņa nomas vai lietojuma tiesībām, vai apbūves tiesībām, kā arī būvniecības, lietošanas, uzturēšanas un attīstības (tai skaitā modernizēšanas, pārbūves) kārtību. Finansējuma saņēmēja tiesības uz konkrēto objektu vai īpašumu ir nostiprinātas zemesgrāmatā;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komunikācijas un vizuālās identitātes prasību pasākumus saskaņā ar </w:t>
      </w:r>
      <w:r w:rsidR="00000000" w:rsidRPr="00000000" w:rsidDel="00000000">
        <w:rPr>
          <w:rtl w:val="0"/>
        </w:rPr>
        <w:t xml:space="preserve">Regulas 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izstrādā iekšējās kontroles sistēmu, ietverot tajā informāciju par interešu konflikta, krāpšanas, korupcijas risku un dubultā finansējuma novēršanas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 saskaņā ar </w:t>
      </w:r>
      <w:r w:rsidR="00000000" w:rsidRPr="00000000" w:rsidDel="00000000">
        <w:rPr>
          <w:rtl w:val="0"/>
        </w:rPr>
        <w:t xml:space="preserve">Eiropas Parlamenta un Padomes 2024. gada 23. septembra Regulas (ES, Euratom) 2024/2509 par finanšu noteikumiem, ko piemēro Savienības vispārējam budžetam (pārstrādāta redakcija)</w:t>
      </w:r>
      <w:r w:rsidR="00000000" w:rsidRPr="00000000" w:rsidDel="00000000">
        <w:rPr>
          <w:rtl w:val="0"/>
        </w:rPr>
        <w:t xml:space="preserve">, 61. pantu un normatīvajiem aktiem publisko iepirkumu jomā, kā arī paraksta interešu konflikta neesības apliecinājumu;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glabā projekta dokumentāciju un nodrošina tās pieejamību visā projekta īstenošanas laikā un uzraudzības periodā, kas nepārsniedz piecus gadus pēc pēdējā noslēguma maksājuma veikšanas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projekta īstenošanai nepieciešamās preces un pakalpojumus iegādājas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 zaļais publiskais iepirkums – un, kur tas ir attiecināms un atbilstošs ieguldījumu specifikai, īsteno sociāli atbildīgu iepirkumu, kā arī piemēro inovatīvā publiskā iepirkuma nosacījumus, ja attiecināms.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24-TA-1473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24-TA-1473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noteikumu_projekts_24-TA-1473.docx</dc:title>
</cp:coreProperties>
</file>

<file path=docProps/custom.xml><?xml version="1.0" encoding="utf-8"?>
<Properties xmlns="http://schemas.openxmlformats.org/officeDocument/2006/custom-properties" xmlns:vt="http://schemas.openxmlformats.org/officeDocument/2006/docPropsVTypes"/>
</file>