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septembrī (prot. Nr. 44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 un darbinieku atlīdzības likuma</w:t>
      </w:r>
      <w:r w:rsidR="00000000" w:rsidRPr="00000000" w:rsidDel="00000000">
        <w:rPr>
          <w:rStyle w:val="paragraph"/>
          <w:i w:val="1"/>
          <w:rtl w:val="0"/>
        </w:rPr>
        <w:t xml:space="preserve"> </w:t>
      </w:r>
      <w:r w:rsidR="00000000" w:rsidRPr="00000000" w:rsidDel="00000000">
        <w:rPr>
          <w:rStyle w:val="paragraph"/>
          <w:i w:val="1"/>
          <w:rtl w:val="0"/>
        </w:rPr>
        <w:t xml:space="preserve">4. panta</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w:t>
      </w:r>
      <w:r w:rsidR="00000000" w:rsidRPr="00000000" w:rsidDel="00000000">
        <w:rPr>
          <w:rStyle w:val="paragraph"/>
          <w:i w:val="1"/>
          <w:rtl w:val="0"/>
        </w:rPr>
        <w:t xml:space="preserve">7.¹</w:t>
      </w:r>
      <w:r w:rsidR="00000000" w:rsidRPr="00000000" w:rsidDel="00000000">
        <w:rPr>
          <w:rStyle w:val="paragraph"/>
          <w:i w:val="1"/>
          <w:rtl w:val="0"/>
        </w:rPr>
        <w:t xml:space="preserve">, </w:t>
      </w:r>
      <w:r w:rsidR="00000000" w:rsidRPr="00000000" w:rsidDel="00000000">
        <w:rPr>
          <w:rStyle w:val="paragraph"/>
          <w:i w:val="1"/>
          <w:rtl w:val="0"/>
        </w:rPr>
        <w:t xml:space="preserve">13.¹</w:t>
      </w:r>
      <w:r w:rsidR="00000000" w:rsidRPr="00000000" w:rsidDel="00000000">
        <w:rPr>
          <w:rStyle w:val="paragraph"/>
          <w:i w:val="1"/>
          <w:rtl w:val="0"/>
        </w:rPr>
        <w:t xml:space="preserve">, </w:t>
      </w:r>
      <w:r w:rsidR="00000000" w:rsidRPr="00000000" w:rsidDel="00000000">
        <w:rPr>
          <w:rStyle w:val="paragraph"/>
          <w:i w:val="1"/>
          <w:rtl w:val="0"/>
        </w:rPr>
        <w:t xml:space="preserve">15. panta</w:t>
      </w:r>
      <w:r w:rsidR="00000000" w:rsidRPr="00000000" w:rsidDel="00000000">
        <w:rPr>
          <w:rStyle w:val="paragraph"/>
          <w:i w:val="1"/>
          <w:rtl w:val="0"/>
        </w:rPr>
        <w:t xml:space="preserve"> pirmo daļu un </w:t>
      </w:r>
      <w:r w:rsidR="00000000" w:rsidRPr="00000000" w:rsidDel="00000000">
        <w:rPr>
          <w:rStyle w:val="paragraph"/>
          <w:i w:val="1"/>
          <w:rtl w:val="0"/>
        </w:rPr>
        <w:t xml:space="preserve">16.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21. jūnija noteikumos Nr. 361 "Noteikumi par valsts institūciju amatpersonu un darbinieku darba samaksu un tās noteikšanas kārtību, kā arī par profesijām un specifiskajām jomām, kurām piemērojams tirgus koeficients" (Latvijas Vēstnesis, 2022, 121.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Iekšlietu ministrijas padotības iestādes amatpersona (darbinieks), kura īsteno attiecīgus pastiprināta robežapsardzības sistēmas darbības režīma pasākumus, saņem piemaksu par darbu paaugstināta riska un slodzes apstākļos līdz 50 % no amatpersonai (darbiniekam) noteiktās stundas algas likmes par laiku, kamēr nepieciešams īstenot attiecīgos pastiprināta robežapsardzības sistēmas darbības režīma pasākumus. Piemaksas piešķiršanas nosacījumus un kārtību nosaka iekšlietu ministrs."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23-TA-2018</w:t>
    </w:r>
    <w:r>
      <w:br/>
    </w:r>
    <w:r w:rsidR="00000000" w:rsidRPr="00000000" w:rsidDel="00000000">
      <w:rPr>
        <w:rtl w:val="0"/>
      </w:rPr>
      <w:t xml:space="preserve">Izdrukāts 29.07.2026. 21.52 - 1.0.VK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23-TA-2018</w:t>
    </w:r>
    <w:r>
      <w:br/>
    </w:r>
    <w:r w:rsidR="00000000" w:rsidRPr="00000000" w:rsidDel="00000000">
      <w:rPr>
        <w:rtl w:val="0"/>
      </w:rPr>
      <w:t xml:space="preserve">Izdrukāts 29.07.2026. 21.52 - 1.0.VK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noteikumu_(grozījumu)_projekts_23-TA-2018.docx</dc:title>
</cp:coreProperties>
</file>

<file path=docProps/custom.xml><?xml version="1.0" encoding="utf-8"?>
<Properties xmlns="http://schemas.openxmlformats.org/officeDocument/2006/custom-properties" xmlns:vt="http://schemas.openxmlformats.org/officeDocument/2006/docPropsVTypes"/>
</file>