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[26-TA-1067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[26-TA-1067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Samaksas apmēra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šā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daudzprofilu stacionārajām ārstniecības iestādēm, sabiedrībai ar ierobežotu atbildību "Jelgavas reģionālā slimnīca" un sabiedrībai ar ierobežotu atbildību "Jēkabpils reģionālā slimnīca";</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efektivitātes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tuberkulozes ārstēšanas, insulta vienības, apsaldējumu un apdegumu ārstēšanas, ķīmijterapijas, radioķirurģijas, staru terapijas, cilmes šūnu transplantācijas, paliatīvās aprūpes pakalpojumus, kā arī lielo locītavu endoprotezēšanas pakalpojumus (ja ārstniecības iestādei ir nepieciešamie resursi plānotā apjoma izpildei);</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vidējais viena pacienta stacionēšanas gadījuma izmaksu bāzes tarifs (aprēķina katru gadu atbilstoši vadības informācijas sistēmas datiem – pie summas, kas iegūta, reizinot gultasdienu skaitu ar gultasdienas tarifu, pieskaita manipulāciju sarakstā ar zvaigznīti (*) atzīmēto veikto manipulāciju tarifu summu un iegūto kopsummu sadala ar kopējo stacionēšanas gadījumu skaitu);</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DRG pakalpojumu gultasdienas tarifs ir 108,43 </w:t>
      </w:r>
      <w:r w:rsidR="00000000" w:rsidRPr="00000000" w:rsidDel="00000000">
        <w:rPr>
          <w:i w:val="1"/>
          <w:rtl w:val="0"/>
        </w:rPr>
        <w:t xml:space="preserve">euro</w:t>
      </w:r>
      <w:r w:rsidR="00000000" w:rsidRPr="00000000" w:rsidDel="00000000">
        <w:rPr>
          <w:rtl w:val="0"/>
        </w:rPr>
        <w:t xml:space="preserve">,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3.3.4.1. šo noteikumu 6. pielikuma 1.2.1.3. un 1.2.4.3.apakšpunktā minētās ārstniecības iestādes, kurām DRG pakalpojumu gultasdienas tarifu nosaka 100 % apmērā no šo noteikumu 6. pielikuma 1. punktā noteiktā šīs ārstniecības iestādes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3.3.4.2. šo noteikumu 6. pielikuma 1.2.1.1. un 1.2.1.2. apakšpunktā minētās ārstniecības iestādes, kurām DRG pakalpojumu gultasdienas tarifu nosaka 94 % apmērā no šo noteikumu 6. pielikuma 1. punktā noteiktā šo ārstniecības iestāžu gultasdienas tarifa;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ja finansējuma apmērs samaksai par veselības aprūpes pakalpojumiem atbilstoši likumam par valsts budžetu kārtējam gadam nav pietiekams,  DRG pakalpojumu vidējās viena pacienta stacionēšanas gadījuma izmaksu bāzes tarifam piemēro koeficientu tādā apmērā, lai iekļautos pieejamajā finansējumā, izņemot šo noteikumu 6. pielikuma 1.2.1.3. un 1.2.4.3.apakšpunktā minēto ārstniecības iestādi;</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gada plānotajam apjomam;</w:t>
      </w:r>
      <w:r>
        <w:tab/>
      </w:r>
      <w:r>
        <w:br/>
      </w:r>
      <w:r>
        <w:tab/>
      </w:r>
      <w:r>
        <w:br/>
      </w:r>
      <w:r w:rsidR="00000000" w:rsidRPr="00000000" w:rsidDel="00000000">
        <w:rPr>
          <w:rtl w:val="0"/>
        </w:rPr>
        <w:t xml:space="preserve">4.7. pacienta līdzmaksājuma kompensāciju par personām, kas atbrīvotas no pacienta līdzmaksājuma, plāno atbilstoši iepriekšējā gada plānotajam apjomam;</w:t>
      </w:r>
      <w:r>
        <w:tab/>
      </w:r>
      <w:r>
        <w:br/>
      </w:r>
      <w:r>
        <w:tab/>
      </w:r>
      <w:r>
        <w:br/>
      </w:r>
      <w:r w:rsidR="00000000" w:rsidRPr="00000000" w:rsidDel="00000000">
        <w:rPr>
          <w:rtl w:val="0"/>
        </w:rPr>
        <w:t xml:space="preserve">4.8.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noteikumu_(grozījumu)_projekts_p3_26-TA-1067.docx</dc:title>
</cp:coreProperties>
</file>

<file path=docProps/custom.xml><?xml version="1.0" encoding="utf-8"?>
<Properties xmlns="http://schemas.openxmlformats.org/officeDocument/2006/custom-properties" xmlns:vt="http://schemas.openxmlformats.org/officeDocument/2006/docPropsVTypes"/>
</file>