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[22-TA-2058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[22-TA-2058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20.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353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Preču un pakalpojumu grupas, kurām obligāti piemērojams zaļais publiskais iepirkums (ZPI)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Biroja papīrs.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Drukas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Datortehnika un informācijas un komunikācijas tehnoloģiju (IKT)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Pārtika un ēdināšanas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Tīrīšanas līdzekļi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Iekštelpu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Ielu apgaismojums un satiksmes signāli.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Trešās grupas ēku jauna būvniecība,  pārbūve, projektēšana un nojaukšana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Vieglo pasažieru automobiļu un vieglo komerctransporta automobiļu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 iesniedz nacionālajai standartizācijas institūcijai publicēšanai tās tīmekļvietnē to piemērojamo standartu sarakstu, kurus var piemērot šo noteikumu prasību izpildei (turpmāk – piemērojamie standarti).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ZPI prasības un kritēriji preču un pakalpojumu grupām, kurām obligāti piemērojams ZPI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Biroja papīrs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kopēšanas un grafiskam papīram lietošanai birojā (biroja papīrs) attiecas uz loksnēs vai ruļļos nopērkamu neapdrukātu papīru rakstīšanai, drukāšanai un kopēšanai (līdz 170 g/m</w:t>
      </w:r>
      <w:r w:rsidR="00000000" w:rsidRPr="00000000" w:rsidDel="00000000">
        <w:rPr>
          <w:vertAlign w:val="superscript"/>
          <w:rtl w:val="0"/>
        </w:rPr>
        <w:t xml:space="preserve">2</w:t>
      </w:r>
      <w:r w:rsidR="00000000" w:rsidRPr="00000000" w:rsidDel="00000000">
        <w:rPr>
          <w:rtl w:val="0"/>
        </w:rPr>
        <w:t xml:space="preserve">). Kritēriji neattiecas uz gataviem papīra izstrādājumiem, piemēram, piezīmju blokiem, zīmēšanas burtnīcām, kalendāriem, rokasgrāmatām.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 divi dažādi videi draudzīga papīra iepirkuma risinājumi (ar atšķirīgiem ZPI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papīram, kura izgatavošanas pamatā ir reģenerētas papīra šķiedras, otrreizēji pārstrādāts papīrs,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papīram, kura izgatavošanas pamatā ir neapstrādāta šķiedra.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norādītas abas kritēriju grupas, lai pasūtītājs varētu izvēlēties savām vajadzībām atbilstošāko videi draudzīga papīra iepirkuma risinājumu.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ZPI prasības un kritēriji un prasības otrreizēji pārstrādātam biroja papīram parastai izmantošanai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5592"/>
        <w:tblGridChange w:id="0">
          <w:tblGrid>
            <w:gridCol w:w="1856"/>
            <w:gridCol w:w="5592"/>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no reģenerētām šķiedrām izgatavota otrreizēji pārstrādāta biroja papīra iepirkums.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PAPĪRA IZGATAVOŠANAI IZMANTOTĀ ŠĶIEDRA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Papīram ir jābūt pilnībā izgatavotam no reģenerētām papīra šķiedrām. Reģenerētās papīra šķiedras ir gan izlietotās, otrreizēji pārstrādātās šķiedras, gan neizlietotās, otrreizēji pārstrādātās šķiedras no papīrfabrikās izbrāķētā papīra.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ATSEVIŠĶU VIELU NEIZMANTOŠANA PAPĪRA RAŽOŠANĀ (BALINĀŠANĀ)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nedrīkst saturēt elementāro hloru (ECF, angliski </w:t>
            </w:r>
            <w:r w:rsidR="00000000" w:rsidRPr="00000000" w:rsidDel="00000000">
              <w:rPr>
                <w:i w:val="1"/>
                <w:rtl w:val="0"/>
              </w:rPr>
              <w:t xml:space="preserve">Elementary Chlorine Free</w:t>
            </w:r>
            <w:r w:rsidR="00000000" w:rsidRPr="00000000" w:rsidDel="00000000">
              <w:rPr>
                <w:rtl w:val="0"/>
              </w:rPr>
              <w:t xml:space="preserve">). Tiks pieņemts arī hloru un tā savienojumus nesaturošs (TCF, angliski </w:t>
            </w:r>
            <w:r w:rsidR="00000000" w:rsidRPr="00000000" w:rsidDel="00000000">
              <w:rPr>
                <w:i w:val="1"/>
                <w:rtl w:val="0"/>
              </w:rPr>
              <w:t xml:space="preserve">Totally Chlorine Free</w:t>
            </w:r>
            <w:r w:rsidR="00000000" w:rsidRPr="00000000" w:rsidDel="00000000">
              <w:rPr>
                <w:rtl w:val="0"/>
              </w:rPr>
              <w:t xml:space="preserve">) papīrs.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ZPI prasības un kritēriji otrreizēji pārstrādātam papīram profesionālām vajadzībām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5592"/>
        <w:tblGridChange w:id="0">
          <w:tblGrid>
            <w:gridCol w:w="1856"/>
            <w:gridCol w:w="5592"/>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Otrreizēji pārstrādāta papīra iepirkums, kura izgatavošanā reģenerētu papīra šķiedru īpatsvars no kopējā šķiedru apjoma ir bijis vismaz 75 %.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PAPĪRA IZGATAVOŠANAI IZMANTOTĀ ŠĶIEDRA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papīra izgatavošanā izmantotajām šķiedrām 75 % ir jābūt reģenerētām šķiedrām. Reģenerētās papīra šķiedras ir gan izlietotās, otrreizēji pārstrādātās šķiedras, gan neizlietotās, otrreizēji pārstrādātās šķiedras no papīrfabrikās izbrāķētā papīra.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ATSEVIŠĶU VIELU NEIZMANTOŠANA PAPĪRA RAŽOŠANĀ (BALINĀŠANĀ)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nedrīkst saturēt elementāro hloru (ECF, angliski </w:t>
            </w:r>
            <w:r w:rsidR="00000000" w:rsidRPr="00000000" w:rsidDel="00000000">
              <w:rPr>
                <w:i w:val="1"/>
                <w:rtl w:val="0"/>
              </w:rPr>
              <w:t xml:space="preserve">Elementary Chlorine Free</w:t>
            </w:r>
            <w:r w:rsidR="00000000" w:rsidRPr="00000000" w:rsidDel="00000000">
              <w:rPr>
                <w:rtl w:val="0"/>
              </w:rPr>
              <w:t xml:space="preserve">). Tiks pieņemts arī hloru un tā savienojumus nesaturošs (TCF, angliski </w:t>
            </w:r>
            <w:r w:rsidR="00000000" w:rsidRPr="00000000" w:rsidDel="00000000">
              <w:rPr>
                <w:i w:val="1"/>
                <w:rtl w:val="0"/>
              </w:rPr>
              <w:t xml:space="preserve">Totally Chlorine Free</w:t>
            </w:r>
            <w:r w:rsidR="00000000" w:rsidRPr="00000000" w:rsidDel="00000000">
              <w:rPr>
                <w:rtl w:val="0"/>
              </w:rPr>
              <w:t xml:space="preserve">) papīrs.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ZPI prasības un kritēriji biroja papīram, kura izgatavošanas pamatā ir ilgtspējīgā veidā un likumīgi iegūta neapstrādāta šķiedra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5592"/>
        <w:tblGridChange w:id="0">
          <w:tblGrid>
            <w:gridCol w:w="1856"/>
            <w:gridCol w:w="5592"/>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Papīra iepirkums, kura izgatavošanas pamatā ir ilgtspējīgā veidā un/vai likumīgi iegūta neapstrādāta šķiedra (papīrs var saturēt arī noteiktu daudzumu reģenerētu šķiedru).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PAPĪRA IZGATAVOŠANĀ IZMANTOTĀS KOKSNES ŠĶIEDRAS IEGUVES LIKUMĪBA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Neapstrādātajām koksnes šķiedrām, ko izmanto celulozes ražošanā, ir jābūt iegūtām no likumīgiem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ATSEVIŠĶU VIELU NEIZMANTOŠANA PAPĪRA RAŽOŠANĀ (BALINĀŠANĀ)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Papīrs nedrīkst saturēt elementāro hloru (ECF, angliski </w:t>
            </w:r>
            <w:r w:rsidR="00000000" w:rsidRPr="00000000" w:rsidDel="00000000">
              <w:rPr>
                <w:i w:val="1"/>
                <w:rtl w:val="0"/>
              </w:rPr>
              <w:t xml:space="preserve">Elementary Chlorine Free</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MEŽSAIMNIECĪBA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proporcionāli tādu neapstrādātu koksnes šķiedru apjomam celulozes ražošanā, kas iegūtas pārbaudītos mežos, kuru apsaimniekošanā tiek īstenoti ilgtspējīgas meža apsaimniekošanas principi un pasākumi.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Drukas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Drukas iekārtas ir ražojumi, kuri paredzēti lietošanai birojā un kuriem ir viena vai abas no šādām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iegūt papīra dokumenta vai fotogrāfijas formā drukātus attēlus vai nu no digitāla attēla vai arī dokumenta papīra formas kopijas kopēšanas/skenēšanas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iegūt digitālu attēlu no dokumenta papīra formas kopijas kopēšanas/skenēšanas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ražojumiem, kurus pārdod kā printerus, kopētājus un vairākfunkciju ierīces biroja vajadzībām. Kritēriji neattiecas uz faksa aparātiem, digitāliem pavairotājiem un skeneriem, kā arī lieljaudas attēlu pavairošanas iekārtām komercvajadzībām un ploteriem.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ZPI prasības un kritēriji drukas iekārtām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5592"/>
        <w:tblGridChange w:id="0">
          <w:tblGrid>
            <w:gridCol w:w="1856"/>
            <w:gridCol w:w="5592"/>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energoefektīvu drukas iekārtu iegāde, kam ir samazināta ietekme uz vidi.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 tikai tādai drukas iekārtai, kas spēj sasniegt un / vai pārsniegt vienkrāsas drukāšanas / kopēšanas ātrumu 25 attēli minūtē uz A4 formāta papīra.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DRUKĀŠANA UZ ABĀM LAPAS PUSĒM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Iekārtai jābūt aprīkotai ar bloku, kas automātiski drukā/kopē uz abām lapas pusēm. Abpusējās drukāšanas un/vai kopēšanas funkcija ražotāja nodrošinātajā oriģinālprogrammatūrā ir iestatīta kā noklusējums.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VAIRĀKI ATTĒLI UZ VIENAS PAPĪRA LAPAS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standarta iespēja ir spēja drukāt un/vai kopēt 2 vai vairāk dokumenta lappuses uz vienas papīra lapas, ja ražojumu lieto ar ražotāja nodrošinātu oriģinālprogrammatūru (printera dzinis).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ENERGOEFEKTIVITĀTE LIETOŠANAS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izstrādājumiem ir jābūt iesniegtai enerģijas patēriņa veidlapai, kurā iekļauta sekojoša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553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režīms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Jaudas līmenis pie 230 V maiņstrāvas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bez slodzes</w:t>
                  </w:r>
                  <w:r>
                    <w:br/>
                  </w:r>
                  <w:r w:rsidR="00000000" w:rsidRPr="00000000" w:rsidDel="00000000">
                    <w:rPr>
                      <w:rtl w:val="0"/>
                    </w:rPr>
                    <w:t xml:space="preserve">(ārējais strāvas avots/lādētājs ir pievienots sienas kontaktligzdai, bet ir atvienots no produkta.)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Tipiskais enerģijas patēriņš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enerģijas patēriņš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kWh/gadā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 barošanas avota efektivitātes līmenis (starptautiskais efektivitātes marķējuma protokols)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Noklusētais enerģijas taupīšanas režīma laiks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minūtes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enerģijas taupīšanas funkciju tiek sniegta kopā ar produktu.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Modeļa numurs, ražošanas datums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INSTRUKCIJA PAR IEKĀRTAS IZMANTOŠANU VIDEI MAZĀK KAITĪGĀ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Norādījumi, kā konkrēto drukas iekārtu izmantot, pēc iespējas mazāk kaitējot videi (aprakstītas ir papīra izmantošanas funkcijas, energoefektivitātes funkcijas, ražojuma atkritumu un jebkādu izlietojamu materiālu, piemēram, tintes un/vai tonera kasetņu izmantošana), ir rakstiski pieejami kā atsevišķa lietošanas rokasgrāmatas daļa un/vai elektroniski – ražotāja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RAŽOJUMA LIETOŠANAS ILGUMS UN GARANTIJA </w:t>
            </w:r>
            <w:r w:rsidR="00000000" w:rsidRPr="00000000" w:rsidDel="00000000">
              <w:rPr>
                <w:i w:val="1"/>
                <w:rtl w:val="0"/>
              </w:rPr>
              <w:t xml:space="preserve">(neattiecas uz nomas līgumiem, kas ietver tehnisko apkalpošanu)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Ražojumam ir vismaz trīs gadu garantija remontam vai nomaiņai. Piegādātājam vai ražotājam Līgumā ir jāgarantē, ka rezerves daļas būs pieejamas vismaz trīs gadus pēc preces ražotāja vai piegādātāja noteiktā garantijas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RESURSU EFEKTĪVA IZMANTOŠANA ATTIECĪBĀ UZ KASETNĒM: tonera un/vai tintes kasetņu atkārtotai izmantošanai paredzēta iekārtas uzbūve (dizains) </w:t>
            </w:r>
            <w:r w:rsidR="00000000" w:rsidRPr="00000000" w:rsidDel="00000000">
              <w:rPr>
                <w:i w:val="1"/>
                <w:rtl w:val="0"/>
              </w:rPr>
              <w:t xml:space="preserve">(prasību nepiemēro iekārtām, kurās neizmanto kasetnes)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Jābūt iespējai iekārtās izmantot otrreiz uzpildītas tonera un/vai tintes kasetnes. Nedrīkst uzstādīt tādas ierīces vai izmantot tādas metodes, kas neļauj toneri un/vai tintes kasetni izmantot atkārtoti.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LIELĀKA ENERGOEFEKTIVITĀTE LIETOŠANAS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par katriem 5 % mazāk patērētas elektroenerģijas nekā norādīts tehniskajās specifikācijās attiecībā uz lietošanas režīmu, ko mēra saskaņā ar Testēšanas metodi biroja tehnikas iekārtu energopatēriņa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DRUKĀŠANA UZ ABĀM LAPAS PUSĒM </w:t>
            </w:r>
            <w:r w:rsidR="00000000" w:rsidRPr="00000000" w:rsidDel="00000000">
              <w:rPr>
                <w:i w:val="1"/>
                <w:rtl w:val="0"/>
              </w:rPr>
              <w:t xml:space="preserve">(piemēro tikai tādām drukas iekārtām ar maksimālo vienkrāsas drukāšanas/kopēšanas ātrumu mazāk par 25 attēliem minūtē uz A4 formāta papīra)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drukas iekārtām, kas aprīkotas ar automātisku abpusējas drukāšanas/kopēšanas bloku (dupleksa bloks). Abpusējās drukāšanas un/vai kopēšanas funkcija ražotāja nodrošinātajā oriģinālprogrammatūrā ir iestatīta kā noklusējums.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ENERGOEFEKTIVITĀTE GAIDSTĀVES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atbilstoši elektroenerģijas patēriņam tīklierosas gaidstāves režīmā, uz ko iekārtu pārslēdz ar barošanas pārvaldības funkciju vai līdzīgu funkciju. Jo mazāks ir elektroenerģijas patēriņš, jo vairāk punktu tiek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Energopatēriņš ir jāmēra saskaņā ar Testēšanas metodi biroja tehnikas iekārtu energopatēriņa noteikšanai, 2.0 versija – galīgā redakcija, 2012. gada maijs, vai ekvivalentu metodi.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Datortehnika un IKT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ražojumiem, kurus pārdod kā datorus (personālos datorus, piezīmjdatorus, monoblokus, planšetes) un monitorus, kā arī uz informācijas un komunikācijas tehnoloģiju (IKT) infrastruktūras komponentēm (serveriem, disku masīviem un komunikāciju iekārtām) un IKT infrastruktūras pakalpojumiem, kā arī uz datu centriem un mākoņpakalpojumiem.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noradīto vērtēšanas kritēriju izmantošanu Elektronisko iepirkumu sistēmas (EIS) iepirkumos būs iespējams nodrošināt tikai konkursa laikā, bet to nav iespējams nodrošināt vispārīgās vienošanās darbības laikā jeb EIS e-pasūtījumu apakšsistēmā (e-katalogos).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ZPI prasības un kritēriji datortehnikai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317"/>
        <w:tblGridChange w:id="0">
          <w:tblGrid>
            <w:gridCol w:w="1856"/>
            <w:gridCol w:w="7317"/>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w:t>
            </w:r>
            <w:r w:rsidR="00000000" w:rsidRPr="00000000" w:rsidDel="00000000">
              <w:rPr>
                <w:i w:val="1"/>
                <w:rtl w:val="0"/>
              </w:rPr>
              <w:t xml:space="preserve">personālo datoru / piezīmjdatoru / monitoru/ monobloku/planšešu</w:t>
            </w:r>
            <w:r w:rsidR="00000000" w:rsidRPr="00000000" w:rsidDel="00000000">
              <w:rPr>
                <w:rtl w:val="0"/>
              </w:rPr>
              <w:t xml:space="preserve">] iegāde, kuriem ir minimāla ietekme uz vidi visā to kalpošanas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ENERGOEFEKTIVITĀTES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izstrādājumiem ir jābūt iesniegtai enerģijas patēriņa veidlapai, kurā iekļauta sekojoša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režīms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Jaudas līmenis pie 230 V maiņstrāvas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patēriņš bez slodzes</w:t>
                  </w:r>
                  <w:r>
                    <w:br/>
                  </w:r>
                  <w:r w:rsidR="00000000" w:rsidRPr="00000000" w:rsidDel="00000000">
                    <w:rPr>
                      <w:rtl w:val="0"/>
                    </w:rPr>
                    <w:t xml:space="preserve">(ārējais strāvas avots/lādētājs ir pievienots sienas kontaktligzdai, bet ir atvienots no produkta.)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Tipiskais enerģijas patēriņš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enerģijas patēriņš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kWh/gadā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 barošanas avota efektivitātes līmenis (starptautiskais efektivitātes marķējuma protokols)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Displeja izšķirtspēja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megapikseļi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Noklusētais enerģijas taupīšanas režīma laiks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minūtes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enerģijas taupīšanas funkciju tiek sniegta kopā ar produktu.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Energoefektivitātes klase (tikai monitoriem):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Modeļa numurs, ražošanas datums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IERĪCES KALPOŠANAS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Personālajiem (galda) datoriem jābūt konstruētiem tā,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operatīvā atmiņa nomaināma vai modernizējama;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cieto disku (vai daļas, kas pilda cietā diska funkcijas) un CD diskdzini, un/vai DVD diskdzini, ja datorā tāds ir, varētu nomainīt.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barošanas bloks būtu ar vismaz 85% lietderības koeficientu pie 100% noslodzes.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Planšetdatoriem ir jābūt: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ar iebūvētu iekšējo atmiņu vismaz 16 GB un iespēju ievietot papildu iekšējo datu nesēju vai iespēju izmantot attālinātu datu piekļuvi (mākoņglabātuve).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Monoblokiem ir jābūt konstruētiem tā, lai operatīvā atmiņa būtu nomaināma vai modernizējama.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TROKŠŅA LĪMEŅI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tehnoloģiju un telesakaru iekārtu emitēto trokšņu līmenis, kas novērtēts atbilstoši piemērojamo standartu prasībām, nedrīkst pārsniegt: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Personālā datora "deklarētais A-novērtētais skaņas intensitātes līmenis" (re 1 pW):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4,0 B(A) dīkstāves darbības režīmā (līdzvērtīgs 40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4,0 B(A), kad darbojas cietā diska diskdzinis (līdzvērtīgs 40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Piezīmjdatora "deklarētais A-novērtētais skaņas intensitātes līmenis" (re 1 pW):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3,0 B(A) dīkstāves darbības režīmā (līdzvērtīgs 30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3,5 B(A), kad darbojas cietā diska diskdzinis (līdzvērtīgs 35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Monobloka "deklarētais A-novērtētais skaņas intensitātes līmenis" (re 1 pW):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3,5 B(A) dīkstāves darbības režīmā (līdzvērtīgs 35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4,0 B(A), kad darbojas cietā diska diskdzinis (līdzvērtīgs 40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VIDEI DRAUDZĪGAI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Jānodrošina lietošanas norādījumi un/vai apmācības kursi par IT atbalstu datortehnikas videi draudzīgai pārvaldībai.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 PAR ENERĢIJAS PATĒRIŅA PĀRVALDĪBU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Datortehniku piegādā ar vismaz vienu no šādiem informatīvajiem materiāliem vai ar saiti uz interneta resursu, kas tos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pēc noklusējuma iestatīto energopatēriņa pārvaldības iestatījumu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dažādu energopatēriņa pārvaldības funkciju laika iestatījumu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norādes par to, kā pareizi aktivizēt datoru no miega režīma.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Datortehniku piegādā ar vismaz vienu no šādiem informatīvajiem materiāliem vai ar saiti uz interneta resursu, kas tos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noklusējuma energopatēriņa pārvaldības iestatījumu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norāde par to, ka noklusējuma energopatēriņa pārvaldības iestatījumi ir energotaupīgi.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REZERVES DAĻU NEPĀRTRAUKTA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vai ražotājam Līgumā ir jāgarantē, ka rezerves daļas būs pieejamas vismaz trīs gadus pēc preces ražotāja vai piegādātāja noteiktā garantijas termiņa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PLASTMASAS KORPUSU, APVALKU UN IETVARU MARĶĒŠANA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Ārējiem plastmasas korpusiem, apvalkiem un ietvariem, kuru svars pārsniedz 100 gramus un virsmas laukums pārsniedz 50 cm2, ir pastāvīgs marķējums, pēc kā identificē materiālu saskaņā ar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REACH KANDIDĀTVIELU SARAKSTĀ IEKĻAUTU VIELU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deklarē REACH kandidātvielu sarakstā iekļauto vielu klātbūtni, ja koncentrācija pārsniedz 0,1 % (pēc masas) visā produktā un katrā no šādiem montāžas mezgliem: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mātesplate ar mikroshēmām (tostarp CPU, RAM, grafikas mikroshēmas);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displeja bloks (tostarp izgaismojums);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korpusi un ietvari;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ārēja tastatūra, pele un/vai sensorpanelis;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ārējie maiņstrāvas un līdzstrāvas barošanas kabeļi (tostarp adapteri un akumulatoru bloki).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(REACH kandidātu saraksts: īpaši bīstamu kandidātu saraksta vielu saraksts licencēšanai, kas publicēts saskaņā ar Ķimikāliju reģistrēšanas, vērtēšanas, licencēšanas un ierobežošanas (REACH) regulas 59.panta 10.punktu: https://echa.europa.eu/lv/candidate-list-table)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GARANTIJA UN KALPOŠANAS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nodrošina vismaz trīs gadu garantiju stacionārajiem un portatīvajiem datoriem, monoblokiem un monitoriem, kas ir spēkā no produkta piegādes brīža. Šī garantija attiecas uz remontu vai nomaiņu un ietver pakalpojumu līgumu ar produkta aizvešanas un atvešanas vai remonta uz vietas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Garantija nodrošina to, ka produkti atbilst līguma specifikācijām, nenosakot papildu maksu par to remontu, ja ir ievēroti ekspluatācijas un garantijas noteikumi. Tā attiecas uz akumulatora bojājumiem (Pie bojājumiem pieskaita neuzlādēšanos, kā arī nespēju noteikt akumulatora pieslēgumu. Akumulatora ietilpības pakāpenisku samazināšanos lietošanas gaitā neuzskata par bojājumu, ja vien uz to neattiecas īpašs garantijas noteikums, skatīt piedāvājuma izvērtēšanas kritērijos)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DEMONTĀŽAS UN PLASTMASAS DETAĻU PĀRSTRĀDES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var piešķirt par demontāžas ērtumu un vieglu plastmasas daļu pārstrādi personālajiem (galda) datoriem, monitoriem, piezīmjdatoriem: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 savienojumi ir viegli pieejami un ir pēc iespējas standartizēti;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 plastmasas daļām, kas sver vairāk par 25 g, ir pastāvīgs marķējums, pēc kā identificē materiālu saskaņā ar piemērojamiem standartiem. Šis kritērijs neattiecas uz ekstrudētu plastmasu un plakano displeju gaismas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c) plastmasas daļas ir no viena polimēra vai saderīgiem polimēriem, izņemot apvalkus, kas sastāv no ne vairāk kā divu veidu polimēriem, kuri ir atdalāmi.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ENERĢIJAS PATĒRIŅA UZLABOJUMS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punkti var tikt piešķirti, ja pretendents iesniedz Pasūtītāja izvēlētu aprites cikla izmaksu aprēķinu (piemēram, VARAM aprites cikla kalkulatoru), saskaņā ar kuru piedāvātais iespējamais uzlabojums rada produkta kopējo ekspluatācijas izmaksu relatīvu samazinājumu, savstarpēji salīdzinot ar iesniegtajiem piedāvājuma modeļiem ar zemāku energoefektivitātes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X punktus piešķir pretendentam, kura piedāvājumā norādītas zemākās aprites cikla izmaksas. Citiem pretendentiem punktus piešķir proporcionāli to norādītajām aprites cikla izmaksām salīdzinājumā ar zemākajām izmaksām,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3658"/>
              <w:gridCol w:w="3658"/>
              <w:tblGridChange w:id="0">
                <w:tblGrid>
                  <w:gridCol w:w="3658"/>
                  <w:gridCol w:w="365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zemākās AC izmaksas</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Maksimālais punktu skaits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attiecīgā piedāvājuma AC izmaksas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piešķiramo punktu skaits nepārsniedz 20% no kopējā saimnieciskā izdevīguma vērtējuma.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REZERVES DAĻU IZMAKSU KONKURĒTSPĒJA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iesniedz cenu sarakstu oriģinālajām vai saderīgām rezerves daļām (attiecīgi TS prasībām par daļu nomaināmību) un orientējošās darbaspēka izmaksas par to nomaiņu, ko veic pretendenta pilnvarotie pakalpojumu sniedzēji. Punktus piešķir atbilstoši izmaksu ziņā konkurētspējīgākajiem piedāvājumiem.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Norādītajā sarakstā var pievienot papildu sastāvdaļas, ja tās uzskatāmas par nozīmīgām cenu salīdzinājumā.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GARANTIJAS UN PAKALPOJUMU LĪGUMI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punkti tiek piešķirti, ja ražotāja garantijas ilgums stacionārajiem un portatīvajiem datoriem, monoblokiem un monitoriem ir vismaz četri un vairāk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vērtēšanas priekšrocības punktus Pasūtītājs var piešķirt, ja pretendents veic visu savu atkritumu šķirošanu pa vismaz šādām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bioloģiski noārdāmie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papīrs/kartons,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plastmasa,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baterijas un bīstamie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piešķiramo punktu skaits nepārsniedz 5% no kopējā saimnieciskā izdevīguma vērtējuma.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noteikumi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NOLIETOTĀS DATORTEHNIKAS DROŠA UTILIZĀCIJA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IT tehnikas piegādātājam pēc attiecīgās iekārtas kalpošanas laika beigām ir pienākums nodrošināt bezmaksas tehnikas pieņemšanu un utilizācijas servisu. Pasūtītājs izdzēš datus un nogādā Piegādātājam iekārtu, savukārt piegādātājs to bezmaksas pieņem un nodod utilizēšanai elektronisko atkritumu apsaimniekošanas uzņēmumam.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ZPI prasības un kritēriji IKT infrastruktūras komponentēm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iekārtu [serveru (tai skaitā serveru šasiju) un disku masīvu un apvienoto risinājumu] iegāde, kuriem ir minimāla ietekme uz vidi visā to kalpošanas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ENERĢIJAS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serveriem, kuros var izmantot tikai vienu procesoru, jābūt aprīkotiem ar vienu vai vairākiem 230V barošanas blokiem, kura(-u) efektivitāte pie 50 procenti noslodzes ir vismaz 90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serveriem, kuros var vienlaicīgi izmantot vairāk nekā vienu procesoru, un disku masīviem, kuriem ir iespējams tikai viens vai divi kontrolieri, ir jābūt aprīkotiem ar vienu vai vairākiem 230 V barošanas blokiem, kuru efektivitāte pie 50 procenti noslodzes ir vismaz 90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serveru šasijām (piemēram, asmeņserveru šasijām) un disku masīviem, kuriem ir iespējams izmantot vairāk nekā divus kontrolierus, ir jābūt aprīkotām ar vismaz diviem 230 V barošanas blokiem, kuru efektivitāte pie 50 procenti noslodzes ir vismaz 90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IERĪCES KALPOŠANAS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Serveriem jābūt konstruētiem tā,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operatīvā atmiņa būtu nomaināma vai modernizējama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cieto disku (vai daļas, kas pilda cietā diska funkcijas, ja serverī tādas ir) varētu nomainīt bez instrumentu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GARANTIJA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nodrošina vismaz trīs gadu garantiju, kas ir spēkā no produkta piegādes brīža. Šī garantija attiecas uz remontu vai nomaiņu un ietver pakalpojumu līgumu ar produkta aizvešanas un atvešanas vai remonta uz vietas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REZERVES DAĻU NEPĀRTRAUKTA PIEEJAMĪBA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Piegādātājam vai ražotājam Līgumā ir jāgarantē, ka rezerves daļas būs pieejamas vismaz trīs gadus pēc preces ražotāja vai piegādātāja noteiktā garantijas termiņa beigām.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DEMONTĀŽAS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par demontāžas ērtumu: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iekārtai ir iespējams nomainīt barošanas bloku (ja iekārtai tāds ir) bez nepieciešamības apturēt iekārtas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iekārtas korpuss ir atverams bez instrumentu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ENERĢIJAS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piešķirs šādām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serveriem, kuros var izmantot tikai vienu procesoru, ir jābūt aprīkotiem ar vienu vai vairākiem 230 V barošanas blokiem, kuru efektivitāte pie 50 procentu noslodzes ir vismaz 92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serveriem, kuros var vienlaicīgi izmantot vairāk nekā vienu procesoru, un disku masīviem, kuriem ir iespējams tikai viens vai divi kontrolieri, ir jābūt aprīkotiem ar vienu vai vairākiem 230 V barošanas blokiem, kuru efektivitāte pie 50 procentu noslodzes ir vismaz 92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serveru šasijām (piemēram, asmeņserveru šasijām) un disku masīviem, kuriem ir iespējams izmantot vairāk nekā divus kontrolierus, ir jābūt aprīkotiem ar vismaz diviem 230 V barošanas blokiem, kuru efektivitāte pie 50 procentu noslodzes ir vismaz 92 procenti.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vērtēšanas priekšrocības punktus Pasūtītājs var piešķirt, ja pretendents veic visu savu atkritumu šķirošanu pa vismaz šādām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bioloģiski noārdāmie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papīrs/kartons,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plastmasa,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baterijas un bīstamie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piešķiramo punktu skaits nepārsniedz 5% no kopējā saimnieciskā izdevīguma vērtējuma.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noteikumi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NOLIETOTĀS DATORTEHNIKAS DROŠA UTILIZĀCIJA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IT tehnikas piegādātājam pēc attiecīgās iekārtas kalpošanas laika beigām ir pienākums nodrošināt bezmaksas tehnikas pieņemšanu un utilizācijas servisu. Pasūtītājs izdzēš datus un nogādā Piegādātājam iekārtu, savukārt piegādātājs to bezmaksas pieņem un nodod utilizēšanai elektronisko atkritumu apsaimniekošanas uzņēmumam.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 ZPI prasības un kritēriji IKT infrastruktūras pakalpojumiem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w:t>
            </w:r>
            <w:r w:rsidR="00000000" w:rsidRPr="00000000" w:rsidDel="00000000">
              <w:rPr>
                <w:i w:val="1"/>
                <w:rtl w:val="0"/>
              </w:rPr>
              <w:t xml:space="preserve">IT infrastruktūras ieviešanas, papildināšanas, apkalpošanas</w:t>
            </w:r>
            <w:r w:rsidR="00000000" w:rsidRPr="00000000" w:rsidDel="00000000">
              <w:rPr>
                <w:rtl w:val="0"/>
              </w:rPr>
              <w:t xml:space="preserve">] pakalpojumu iegāde, kuriem ir minimāla ietekme uz vidi visā to kalpošanas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vērtēšanas priekšrocības punktus Pasūtītājs var piešķirt, ja pretendents veic visu savu atkritumu šķirošanu pa vismaz šādām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bioloģiski noārdāmie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papīrs/kartons,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plastmasa,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baterijas un bīstamie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piešķiramo punktu skaits nepārsniedz 5% no kopējā saimnieciskā izdevīguma vērtējuma.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PAKALPOJUMU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Ja atlases kritēriji nav iekļauti</w:t>
            </w:r>
            <w:r w:rsidR="00000000" w:rsidRPr="00000000" w:rsidDel="00000000">
              <w:rPr>
                <w:rtl w:val="0"/>
              </w:rPr>
              <w:t xml:space="preserve">] Līgumslēdzējam jānodrošina, ka pakalpojumi tiek sniegti, mazinot nelabvēlīgo ietekmi uz vidi, pēc iespējas pakalpojumus sniedzot attālināti. Tādēļ līguma darbības pirmo 2 mēnešu laikā līgumslēdzējam būs jāizstrādā un jādokumentē procedūras saistībā ar vidi vismaz šādās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svarīgāko pakalpojuma vides aspektu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ietekmes uz vidi mazināšanas un energoefektivitātes paaugstināšanas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atkritumu daudzuma mazināšana un šķirotā savākšana;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norādītie piedāvājuma izvērtēšanas kritēriji ir vai nav iekļauti] pretendents nodrošina, ka visa Līguma izpildes laikā tā piedāvājumā norādītā Vides pārvaldības sistēma atbilst piedāvājumā norādītajiem kritērijiem un pēc pasūtītāja pieprasījuma jāiesniedz to apliecinošs sertifikāts vai atzītas iestādes (iestādes, kas akreditēta veikt šādus auditus) atzinums.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 ZPI prasība un kritēriji datu centri un mākoņpakalpojumi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317"/>
        <w:tblGridChange w:id="0">
          <w:tblGrid>
            <w:gridCol w:w="1856"/>
            <w:gridCol w:w="7317"/>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centri un mākoņpakalpojumi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specifikācija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Serveru energoefektivitāte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Ikvienam servera modelim datu centrā aktīvā stāvokļa efektivitātes rādītājiem jābūt vismaz tik lieliem, kā noradīts zemāk esošajā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2239"/>
              <w:gridCol w:w="2526"/>
              <w:gridCol w:w="2431"/>
              <w:tblGridChange w:id="0">
                <w:tblGrid>
                  <w:gridCol w:w="2143"/>
                  <w:gridCol w:w="2239"/>
                  <w:gridCol w:w="2526"/>
                  <w:gridCol w:w="2431"/>
                </w:tblGrid>
              </w:tblGridChange>
            </w:tblGrid>
            <w:tr>
              <w:tc>
                <w:tcPr>
                  <w:shd w:fill="aeaaaa"/>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CPU ligzdas</w:t>
                  </w:r>
                </w:p>
              </w:tc>
              <w:tc>
                <w:tcPr>
                  <w:shd w:fill="dbdbdb"/>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Torņserveris</w:t>
                  </w:r>
                </w:p>
              </w:tc>
              <w:tc>
                <w:tcPr>
                  <w:shd w:fill="dbdbdb"/>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Statņserveris</w:t>
                  </w:r>
                </w:p>
              </w:tc>
              <w:tc>
                <w:tcPr>
                  <w:shd w:fill="dbdbdb"/>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Asmeņserveri un vairākmezglu serveri</w:t>
                  </w:r>
                </w:p>
              </w:tc>
            </w:tr>
            <w:tr>
              <w:tc>
                <w:tcPr>
                  <w:shd w:fill="aeaaaa"/>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aeaaaa"/>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r>
            <w:tr>
              <w:tc>
                <w:tcPr>
                  <w:shd w:fill="aeaaaa"/>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energoefektivitātes aprēķini katram servera modelim atbilstoši piemērojamiem standartiem. Tiek pieņemti arī citi kvalitātes marķējumu atbilstības noskaidrošanai veikti testu rezultāti, kas veikti pēc ekvivalentām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Serveru, datu nesēju un tīkla aprīkojuma kalpošanas laika beigu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Kritērijs ir piemērojams kopā ar iepirkuma līguma izpildes noteikumiem 3.noteikumu.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jānodrošina aprīkojuma, kas sasniedzis kalpošanas laika beigas, atkalizmantošanas un pārstrādes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aprīkojuma savākšana;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konfidenciāla un droša datu dzēšana (ja vien to neveic Pasūtītājs);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funkcionāla testēšana, apkope, remonts un uzlabošana;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sagatavošana un marķēšana atkalizmantošanai;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izjaukšana pārstrādes vai iznīcināšanas nolūkos.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jāsniedz informācija par sagatavotā aprīkojuma proporcionālo sadalījumu, kas sagatavots atkalizmantošanai vai pārstrādei.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Atkalizmantošanas, pārstrādes vai iznīcināšanas sagatavošanas darbiem jābūt veiktiem, pilnībā ievērojot Eiropas Parlamenta un Padomes 2012. gada 4. jūlija Direktīvas 2012/19/ES par elektrisko un elektronisko iekārtu atkritumiem (EEIA) (Eiropas Savienības Oficiālais Vēstnesis, 24.7.2012., Nr. L 197, 38. lpp.) 8. pantu un VII un VIII pielikumu, un atbilstoši selektīvās apstrādes komponenšu sarakstam.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jāsniedz detalizēta informācija par aprīkojuma savākšanas, datu drošības, funkcionālās testēšanas, sagatavošanas atkalizmantošanas, pārstrādes un iznīcināšanas darba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IKT darba diapazoni – temperatūra un 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gaisa dzesēšanai, ja datu centrs ir projektēts ekonomiskai un/vai brīvai dzesēšanai.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aparatūrai jāspēj veikt darbu Komisijas Regulā (ES) 2019/424 (2019. gada 15. marts), ar ko nosaka ekodizaina prasības serveriem un datu glabāšanas ražojumiem atbilstīgi Eiropas Parlamenta un Padomes Direktīvai 2009/125/EK un groza Komisijas Regulu (ES) Nr. 617/2013 (Dokuments attiecas uz EEZ) noteiktajos relatīvā mitruma un sausā termometra temperatūras diapazonos atbilstoši vismaz A2 ekspluatācijas apstākļu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Aprīkojumam jābūt testētam funkcionēšanai noteiktajos diapazonos vismaz 16 darba stundas. Testēšanai jābūt veiktai, lai atspoguļotu reālos darba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ja tiek izmantota šķidruma dzesēšana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aprīkojumam jāspēj veikt darbu ūdensapgādes temperatūru diapazonos atbilstoši iepirkumā norādītajai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3293"/>
              <w:gridCol w:w="2814"/>
              <w:gridCol w:w="2335"/>
              <w:tblGridChange w:id="0">
                <w:tblGrid>
                  <w:gridCol w:w="898"/>
                  <w:gridCol w:w="3293"/>
                  <w:gridCol w:w="2814"/>
                  <w:gridCol w:w="2335"/>
                </w:tblGrid>
              </w:tblGridChange>
            </w:tblGrid>
            <w:tr>
              <w:tc>
                <w:tcPr>
                  <w:shd w:fill="aeaaaa"/>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Klase</w:t>
                  </w:r>
                </w:p>
              </w:tc>
              <w:tc>
                <w:tcPr>
                  <w:shd w:fill="dbdbdb"/>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dzesēšanas aprīkojums</w:t>
                  </w:r>
                </w:p>
              </w:tc>
              <w:tc>
                <w:tcPr>
                  <w:shd w:fill="dbdbdb"/>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dzesēšanas aprīkojums</w:t>
                  </w:r>
                </w:p>
              </w:tc>
              <w:tc>
                <w:tcPr>
                  <w:shd w:fill="dbdbdb"/>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temperatūra</w:t>
                  </w:r>
                </w:p>
              </w:tc>
            </w:tr>
            <w:tr>
              <w:tc>
                <w:tcPr>
                  <w:shd w:fill="aeaaaa"/>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Dzesinātājs/dzesēšanas tornis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puses ekonomaizers (ar sauso dzesētāju vai dzesēšanas torni)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r>
            <w:tr>
              <w:tc>
                <w:tcPr>
                  <w:shd w:fill="aeaaaa"/>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Dzesēšanas tornis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Dzesinātājs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Avots: ASHRAE (2011)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Ražotāja specifikācijai jābūt pievienotai par katru IKT aprīkojuma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Ražotājam jāapliecina, ka serveru modeļi ir testēti darbam pieļaujamajos diapazonos noteiktu stundu skaitu. Jāpievieno testēšanas specifikācija.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pieņemta CE marķējumam izmantotā informācija un testēšanas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Vides apstākļu monitorēšana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jāspēj demonstrēt, ka datu centra vides apstākļu kontroles infrastruktūra atbilst piemērojamiem standartiem un spēj mērīt: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datortelpu temperatūras;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gaisa ieplūdes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gaisa izplūdes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ailes auksto temperatūru (kur izmantojama);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ailes karsto temperatūru (kur izmantojama);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relatīvo mitrumu;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ārējo relatīvo mitrumu;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datortelpas relatīvo mitrumu;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gaisa spiedienu zem pieejas grīdas (ja ir izbūvētā pieejas grīda);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dzesēšanas šķidruma plūsmu (ja dzesēšanai izmanto šķidruma dzesēšanu).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jānorāda plānoto mērinstrumentu mērījumu precizitāte.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plānotās monitorēšanas sistēmas tehniskais projekts un tehniskā specifikācija, kas atbilst piemērojamiem standartiem.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Serveru dīkstāves jauda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Kritērijs ir izmantojams tikai kopā ar tehniskās specifikācijas kritēriju tehniskās specifikācijas 1. norādītajām prasībām, tiek piešķirti papildus punkti atkarībā no dīkstāves stāvokļa elektroenerģijas patēriņa.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tikai tad, ja produkta veids (t.i., torņserveris vai statņserveris, vienligzdas vai divligzdu serveris) un sistēmas raksturlielumi, kas ietekmē enerģijas patēriņu (t.i., CPU veiktspēja, serveris ar vai bez enerģijas padeves rezervi, atmiņa, datu nesēji) ir noteikti tehniskajā specifikācijā.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punkti tiks piešķirti serveriem un to komponentēm ar labākiem dīkstāves enerģijas patēriņa rādītājiem kā noteikts Komisijas Regula (ES) 2019/424 (2019. gada 15. marts), ar ko nosaka ekodizaina prasības serveriem un datu glabāšanas ražojumiem atbilstīgi Eiropas Parlamenta un Padomes Direktīvai 2009/125/EK un groza Komisijas Regulu (ES) Nr. 617/2013 (Dokuments attiecas uz EEZ).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dīkstāves enerģijas patēriņš katram servera modelim atbilstoši piemērojamiem standartiem vai ekvivalentu mērījumu metodoloģijai. Dīkstāves enerģijas patēriņam jāizpilda minimālās Komisijas Regula (ES) 2019/424 (2019. gada 15. marts), ar ko nosaka ekodizaina prasības serveriem un datu glabāšanas ražojumiem atbilstīgi Eiropas Parlamenta un Padomes Direktīvai 2009/125/EK un groza Komisijas Regulu (ES) Nr. 617/2013 (Dokuments attiecas uz EEZ) prasības. Ja tiek piedāvātas dažādas servera modeļa konfigurācijas, tad ir jānorāda augstākās veiktspējas konfigurācijas rezultāti. Tiek pieņemti arī citi kvalitātes marķējumu atbilstības noskaidrošanai veikti testu rezultāti, kas veikti pēc ekvivalentām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Serveru noslodze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Kritērijs iekļaujams, ja datu centru pārvalda trešā puse.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balstoties uz paredzamo gada vidējo serveru noslodzi, pamatojoties uz Pasūtītāja datu apstrādes prasībām. Punktus piešķir sekojošos diapazonos: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&gt;70% zemāk: 1.0 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40–70% zemāk: 0.8 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25–40% zemāk: 0.5 x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Paredzētās noslodzes noteikšanai tiek izmantoti aprēķini, modelēšanas dati vai pierādījumi, kas sniegti atlases kritērijos.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Serveru kalpošanas laika beigu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kopā ar tehniskās specifikācijas kritēriju 2.norādījumu.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atkalizmantošanas un pārstrādes pakalpojuma sniedzējiem, kas nodrošina atkalizmantošanai nepiemērotu iespiedshēmu plašu un kabeļu nošķirošanu un pārstrādi.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apliecinājums/ sertifikāts par identificēto komponenšu pārstrādi.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Projektētā jaudas pielietojuma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ja veic datu centra būvniecību vai pārbūvi un jau ir nosakāms IT aprīkojuma enerģijas patēriņš.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proporcionāli piedāvājumam ar vislabāko projektēto jaudas pielietojuma efektivitātes koeficientu </w:t>
            </w:r>
            <w:r w:rsidR="00000000" w:rsidRPr="00000000" w:rsidDel="00000000">
              <w:rPr>
                <w:i w:val="1"/>
                <w:rtl w:val="0"/>
              </w:rPr>
              <w:t xml:space="preserve">(PUE – Power Usage Effectiveness)</w:t>
            </w:r>
            <w:r w:rsidR="00000000" w:rsidRPr="00000000" w:rsidDel="00000000">
              <w:rPr>
                <w:rtl w:val="0"/>
              </w:rPr>
              <w:t xml:space="preserve"> pie noteiktas IT slodzes un vides apstākļiem. PUE vērtību nosaka atbilstoši piemērojamo standartu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Jāiesniedz aprēķini, kuros redzams, ka PUE ir aprēķināts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Jaudas pielietojuma efektivitātes uzlabošanas potenciāls.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esošiem datu centriem, ja ir zināmi vēsturiskie jaudas pielietojuma efektivitātes rādītāji. Piemērojams arī servertelpām ar atsevišķu dzesēšanas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balstoties uz pretendentu aplēstajam jaudas pielietojuma efektivitātes potenciālam relatīvi Pasūtītāja vēsturiskajiem rādītājiem. Pretendentu aplēsēm jābūt balstītām uz vēsturisko IT infrastruktūras patēriņu un vides apstākļiem. PUE vērtību nosaka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Jāiesniedz aprēķini, kuros redzams, ka PUE ir aprēķināts atbilstoši piemērojamo standartu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Atjaunojamās enerģijas īpatsvars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Iekļaujams, ja datu centru pārvalda trešā puse.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Pretendentiem pēc iespējas jāpalielina patērētās atjaunojamās enerģijas īpatsvars pakalpojuma nodrošināšanai. Punktus piešķir proporcionāli pretendentam ar visaugstāko atjaunojamās elektroenerģijas īpatsvaru.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Patērētās elektroenerģijas un atjaunojamās enerģijas īpatsvara noteikšanas aprēķiniem jābūt veiktiem atbilstoši piemērojamiem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Atjaunojamās elektroenerģijas avotiem jāatbilst 2009/28/EC114 direktīvas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Jāiesniedz atjaunojamās enerģijas īpatsvara un kopējās elektroenerģijas piegādes un patēriņa dati, uz kuriem ir balstīti aprēķini.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Aukstumaģentu maisījuma globālās sasilšanas potenciāls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Pretendentiem punktus piešķir atbilstoši datu centra dzesēšanas sistēmā izmantoto aukstumaģentu globālās sasilšanas potenciāla (GSP) svērtajam vidējam rādītājam. Aprēķinus veic atbilstoši Eiropas Parlamenta un Padomes 2014. gada 16. aprīļa Regulas (ES) Nr. 517/2014 par fluorētām siltumnīcefekta gāzēm un ar ko atceļ Regulu (EK) Nr. 842/2006 IV pielikumam. Punktus piešķir sekojošos intervālos: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x punkti – GSP vidējais svērtais rādītājs robežās no 0 līdz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0.6x punkti – GSP vidējais svērtais rādītājs robežās no 11 līdz 150;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0.2x punkti – GSP vidējais svērtais rādītājs robežās no 151 līdz 750.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PĀRBAUDE. Pretendentam jāiesniedz globālās sasilšanas potenciāla vidējā svērtā rādītāja aprēķini atbilstoši Eiropas Parlamenta un Padomes 2014. gada 16. aprīļa Regulas (ES) Nr. 517/2014 par fluorētām siltumnīcefekta gāzēm un ar ko atceļ Regulu (EK) Nr. 842/2006 IV pielikumā aprakstītajai metodei, iekļaujot arī izmantoto aukstumaģentu tehnisko specifikāciju.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Serveru, datu nesēju un tīkla aprīkojuma galamērķa ziņošana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ko viss aprīkojums ir apstrādāts atkalizmantošanai, pārstrādei vai iznīcināšanai, Pasūtītājam jāiesniedz atskaite par inventāra stāvokli. Atskaitē jānorāda atkalizmantošanas un pārstrādes proporcionālo sadalījumu, un vai aprīkojums paliek ES vai tiek eksportēts.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Savienībā pārstrādātam aprīkojumam un komponentēm pieņem šādus apstrādes pierādījumus: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kompetentās valsts iestādes izsniegtu atļauju atbilstoši Eiropas Komisijas direktīvas 2008/98 23. pantam,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neatkarīgas trešās puses izsniegtu atbilstības shēmas sertifikātu, kas sagatavots atbilstoši piemērojamo standartu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aprīkojums un komponentes tiek eksportētas ārpus ES atkalizmantošanai vai pārstrādei, jāiesniedz sekojoša sūtījuma un apstrādes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atkalizmantošanai paredzētā aprīkojuma sūtījuma informācija atbilstoši Eiropas Parlamenta un Padomes 2012. gada 4. jūlija Direktīvas 2012/19/ES par elektrisko un elektronisko iekārtu atkritumiem (EEIA) (Eiropas Savienības Oficiālais Vēstnesis, 24.7.2012., Nr. L 197, 38. lpp.) VI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neatkarīgas trešās puses izsniegtu sertifikāciju par atbilstību EEIA prasībām noteiktām kritērijos vai arī piemērojamiem standartiem vai ekvivalentām tehniskajām prasības shēmām, ja EEIA tiek eksportēti apstrādei ārpus 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Jaudas pielietojuma efektivitātes ievades vērtību monitorēšana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Piemērojams kopā ar 4. un 5. piedāvājuma izvērtēšanas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centra pārvaldītājam jāiesniedz ikgadējas atskaites, kurās norādīti gada vidējie un izdalīti pa mēnešiem datu centra kopējais enerģijas patēriņš un apakšrādītāji mehāniskajām un elektriskajām sistēmām un IT aprīkojumam.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Atjaunojamās enerģijas īpatsvars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Iekļaujams, ja datu centru pārvalda trešā puse.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centra pārvaldītājam jāiesniedz ikmēneša dati par iepirkto vai saražoto atjaunojamo elektroenerģiju. Salīdzināšanas nolūkos elektroenerģijas ražotājam arī jāiesniedz datu centra patērētās enerģijas uzskaite.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Pārtika un ēdināšanas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prasības un kritēriji ir noteikti pārtikas produktu piegādēm un ēdināšanas pakalpojumiem. ZPI kritērijus piemēro brīvprātīgi augļiem, ogām un dārzeņiem, kas nav iekļauti Zemkopības ministrijas izstrādātajos vietējo augļu, ogu un dārzeņu sezonalitātes kalendāros (pieejami Iepirkumu uzraudzības biroja mājas lapā), kā arī  pārtikas produktiem, tostarp,  saldētai produkcijai, kuri netiek audzēti vai ražoti Latvijā.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 ZPI prasības un kritēriji pārtikas produktu piegādēm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317"/>
        <w:tblGridChange w:id="0">
          <w:tblGrid>
            <w:gridCol w:w="1856"/>
            <w:gridCol w:w="7317"/>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produktu (vai noteiktas pārtikas produktu grupas) iepirkums atbilstošs ZPI kritērijiem.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PĀRTIKAS PRODUKTU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papildus cenas vai izmaksu kritērijam paredz vismaz divas prasības no katras no zemāk uzskaitītajām divām ZPI prasību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PĀRTIKAS PRODUKTU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 Iegādājoties pienu un kefīru vismaz 35 procentiem no visas piena un kefīra masas vai vērtības (no 2022.gada 1. janvāra vismaz 50 procenti)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Iegādājoties graudaugu pārstrādes produktus (piemēram, auzu pārslas, kviešu milti, griķi) vismaz 20 procentiem no graudaugu pārstrādes produktu masas vai vērtības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[X] procentiem no visas produktu masas vai vērtības vai X procenti [vai noteikta produktu grupa, piemēram, augļi, dārzeņi, vai konkrētu produktu saraksts, piemēram, kartupeļi, burkāni, āboli] jābūt ražotiem saskaņā ar integrētās ražošanas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vismaz 45 procenti no noteiktas produktu grupas masas vai vērtības, piemēram, piena produkti, gaļas produkti, dārzeņi, vai konkrētu produktu saraksts, piemēram, kartupeļi, liellopu gaļa, olas, ko paredzēts izmantot ēdināšanas pakalpojumos, jāatbilst Latvijas nacionālās pārtikas kvalitātes shēmas prasībām, ko apliecina Pārtikas un veterinārā dienesta izsniegts sertifikāts.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sasniegtu % īpatsvaru, pasūtītājs nosaka kalendāro un apjoma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VIDEI DRAUDZĪGA PIEGĀDE UN SEZONĀLI PĀRTIKAS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ogu un dārzeņu piegādes tiks veiktas, ievērojot sezonalitāti;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ko paredzēts izmantot produktu piegādei no pārtikas produktu izcelsmes (audzēšanas/ražošanas) vietas, jāatbilst vismaz EURO 5 vai V atgāzu emisijas standartiem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 vai saskaņā ar Ministru kabineta 2009. gada 22. decembra noteikumiem noteikumu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produktu piegāde tiks veikta noteiktā pasūtītāja paredzēta attāluma ietvaros no pārtikas produktu izcelsmes (tikai audzēšanas/ražošanas) vietas līdz pasūtītāja norādītajai vietai/piegādes adresei ne vairāk kā 250 km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IEPIRKUMA DALĪŠANA DAĻĀS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produktu piegādes iepirkumu dala daļās. Lemjot par dalīšanu daļās, pasūtītājs ņem vērā arī iepirkuma apjomu un pasūtītājam pieejamos administratīvos resursus. Daļas veido, ņemot vērā vienu vai vairākas šādas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produktu izcelsmes veids (piemēram, dzīvnieku izcelsmes produkti, augu izcelsmes produkti, bakalejas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pārtikas produktu grupa (piemēram, piens un piena produktu, dārzeņi, augļi, ēdienu piedevas un dzērieni, eļļas) un līdzīgu produktu klāsts (piemēram, atsevišķa daļa pienam, raudzētiem piena produktiem un krējumam, atsevišķa daļa saldējumam, atsevišķa daļa sieriem un kausētiem sieriem), kuru piedāvā noteikts ražotāju vai piegādātāju loks;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iepakojuma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uzglabāšanas vai transportēšanas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pārtikas produktu izcelsme (teritorija, ko raksturo noteikti klimatiskie apstākļi – piemēram, vienā daļā neapvieno eksotiskos augļus un sezonālos vietējos augļus);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pārtikas produktu sezonalitāte (piemēram, atsevišķās daļās izdala vasarā un rudenī pieejamos dārzeņus, augļus vai ogas).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augļu, ogu un dārzeņu piegādēm ievēro arī Zemkopības ministrijas izstrādātos vietējo augļu, ogu un dārzeņu sezonalitātes kalendārus, kuri publicēti Iepirkumu uzraudzības biroja tīmekļvietnē.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Pārtikas produktu piegādes, iepirkumam izvēloties saimnieciski visizdevīgāko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nosaka katra piedāvājuma izvērtēšanas kritērija īpatsvaru, bet ZPI kritērijiem kopā ne mazāk kā 35 procentu apmērā no piedāvājuma izvērtēšanas kritēriju kopējās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cenas vai izmaksu kritērijam pasūtītājs paredz īpatsvaru ne vairāk kā 50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novērtētu saimnieciski visizdevīgāko piedāvājumu, pasūtītājs papildus cenas vai izmaksu kritērijam vērtē sekojošus ZPI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pārtikas produktu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 Iegādājoties pienu un kefīru vairāk kā 35 procentiem no visas piena un kefīra masas vai vērtības (no 2022.gada 1. janvāra vairāk kā 50 procenti)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Iegādājoties graudaugu pārstrādes produktus (piemēram, auzu pārslas, kviešu milti, griķi) vairāk kā 20 procentiem no graudaugu pārstrādes produktu masas vai vērtības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[X] procentiem no visas produktu masas vai vērtības vai X procenti [vai noteikta produktu grupa, piemēram, augļi, dārzeņi, vai konkrētu produktu saraksts, piemēram, kartupeļi, burkāni, āboli] jābūt ražotiem saskaņā ar integrētās ražošanas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vairāk kā 45 procenti no noteiktas produktu grupas masas vai vērtības, piemēram, piena produkti, gaļas produkti, dārzeņi, vai konkrētu produktu saraksts, piemēram, kartupeļi, liellopu gaļa, olas, ko paredzēts izmantot ēdināšanas pakalpojumos, jāatbilst Latvijas nacionālās pārtikas kvalitātes shēmas prasībām, ko apliecina Pārtikas un veterinārā dienesta izsniegts sertifikāts.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sasniegtu % īpatsvaru, pasūtītājs nosaka kalendāro un apjoma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videi draudzīga piegāde un sezonāli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augļu, ogu un dārzeņu produktu piegāde veikta, ievērojot sezonalitāti;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2.2.2.transportlīdzekļi, ko paredzēts izmantot produktu piegādei no pārtikas produktu izcelsmes (tikai audzēšanas/ražošanas vietas, ne loģistikas centra, noliktavas vai veikala, atbilst vismaz EURO 5 vai V atgāzu emisijas standartiem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 vai saskaņā ar Ministru kabineta 2009. gada 22. decembra noteikumu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pārtikas produktu piegāde veikta noteiktā pasūtītāja paredzētā attāluma ietvaros no pārtikas produktu izcelsmes (tikai audzēšanas/ražošanas) vietas līdz pasūtītāja norādītajai vietai/piegādes adresei ne vairāk kā 250 km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ogu un dārzeņu piegādēm jāievēro Zemkopības ministrijas izstrādātie vietējo augļu, ogu un dārzeņu sezonalitātes kalendāri, kuri publicēti Iepirkumu uzraudzības biroja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Papildus punktus var piešķirt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BIOLOĢISKĀ PĀRTIKA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prasībām atbilstoši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INTEGRĒTĀ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produktu integrētās audzēšanas prasībām atbilstošo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PĀRTIKAS KVALITĀTES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Nacionālās pārtikas kvalitātes shēmas prasībām atbilstošo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AKVAKULTŪRAS UN JŪRAS PRODUKTI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Akvakultūras un jūras produktu nozvejā un ražošanā ievērota ilgtspējīga prakse un metodes, kā noteikts attiecīgā ilgtspējīgas zvejas un akvakultūras marķējumā.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vismaz divu piedāvājumu novērtējums ir vienāds, pasūtītājs pārtikas produktu piegādes līguma slēgšanas tiesības piešķir pretendentam, kura piedāvājumā ir lielāks to pārtikas produktu īpatsvars, vērtējot to sekojošā prioritārā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kuri atbilst bioloģiskās lauksaimniecības audzēšanas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nacionālās pārtikas kvalitātes shēmas, vai lauksaimniecības produktu integrētās audzēšanas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kurus paredzēts piegādāt noteiktā pasūtītāja paredzētā attāluma ietvaros no pārtikas produktu izcelsmes (tikai audzēšanas/ražošanas) vietas līdz pasūtītāja norādītajai vietai/piegādes adresei ne vairāk kā 250 km ietvaros.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Pārtikas produktu piegādes līgumā pasūtītājs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tehniskajā specifikācijā noteikto prasību izpildes kontroles mehānismu, t.sk. nosakot atbildīgās personas par kontroli, izstrādājot iekšējās kontroles kritērijus, kā arī procedūras, kas jāveic piegādes izmaiņu saskaņošanai, un atbildību par līguma prasību neizpildi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pienākumu piegādātājam, ja tas pats nav bioloģiskās lauksaimniecības vai nacionālās pārtikas kvalitātes shēmas, vai lauksaimniecības produktu integrētās audzēšanas prasībām atbilstošu produktu ražotājs vai audzētājs, attiecībā uz produktiem, kuri atbilst minētajām prasībām, iesniegt pasūtītājam ražotāju un/vai audzētāju sarakstu, norādot to kontaktinformāciju, un ar ražotāju un/vai audzētāju noslēgtu līgumu par sadarbību ar attiecīgo piegādātāju katra konkrētā pārtikas produktu piegādes līguma izpildē;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tiesības pasūtītājam papildus piegādātāja norādītajai informācijai un iesniegtajiem dokumentiem veikt piegādāto pārtikas produktu izcelsmes un kvalitātes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pārtikas produktu sarakstu, norādot produktu ražotāju vai audzētāju un to izcelsmes valsti, kas izstrādāts atbilstoši tehniskajā specifikācijā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piegādātājs savlaicīgi informē un vienojas ar pasūtītāju par iespējamu piegādēs paredzētā produkcijas sortimenta maiņu, aizstājot tehniskajā specifikācijā iekļautos produktus ar jauniem ekvivalentiem (piem., vienu nacionālās pārtikas kvalitātes shēmas produktu var aizstāt pret citu nacionālās pārtikas kvalitātes shēmas produktu) vai kvalitatīvi labākiem produktiem (lauksaimniecības produktu integrētās audzēšanas prasībām atbilstošu produktu vai nacionālās pārtikas kvalitātes shēmas produktu var aizstāt ar bioloģiskajām prasībām atbilstošu produktu);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Pakalpojuma sniedzējam līguma darbības laikā jāuzkrāj un jāuzskaita rēķini, pavadzīmes un citi dokumenti, kas apliecina atbilstību iepirkuma dokumentos izvirzītajiem zaļā publiskā iepirkuma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Rēķini, pavadzīmes, citi dokumenti, un uzskaite jāuzrāda līguma slēdzējam pēc pieprasījuma.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Pasūtītājs nodrošina noslēgtā pārtikas produktu piegādes iepirkumu līgumu vai to kopiju pieejamību uz vietas iestādē, kurā notiek pārtikas produktu piegāde.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 ZPI prasības un kritēriji ēdināšanas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prasību un kritēriju piemērošana ēdināšanas pakalpojumiem ir obligāta veicot iepirkumus, kur galvenais iepirkuma priekšmets un mērķis ir ēdināšanas pakalpojuma nodrošināšana, kas CPV klasifikatorā atpazīstama ar kādu no sekojošiem CPV kodiem: 55300000-3 Restorānu un ēdināšanas pakalpojumi, 55500000-5 Ēdnīcu un sabiedriskās ēdināšanas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pakalpojumiem, kuru primārais mērķis nav ēdināšanas pakalpojumu nodrošināšana, piemēram, semināru organizēšanas pakalpojumi (CPV kods - 79951000-5), kuros kā atsevišķa komponente iespējama kafijas paužu un/vai ēdināšanas nodrošināšana, to ietvaros ZPI prasības un kritēriji pēc iespējas piemērojami brīvprātīgi.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317"/>
        <w:tblGridChange w:id="0">
          <w:tblGrid>
            <w:gridCol w:w="1856"/>
            <w:gridCol w:w="7317"/>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Iepirkuma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Ēdināšanas pakalpojumu iepirkums atbilstoši ZPI kritērijiem.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PRODUKTU ATBILSTĪBA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Pasūtītājs papildus cenas vai izmaksu kritērijam paredz vismaz divas prasības no katras no zemāk uzskaitītajām divām ZPI prasību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PĀRTIKAS PRODUKTU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 Iegādājoties pienu un kefīru vismaz 35 procentiem no visas piena un kefīra masas vai vērtības (no 2022.gada 1. janvāra vismaz 50 procenti)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Iegādājoties graudaugu pārstrādes produktus (piemēram, auzu pārslas, kviešu milti, griķi) vismaz 20 procentiem no graudaugu pārstrādes produktu masas vai vērtības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[X] procentiem no visas produktu masas vai vērtības vai X procenti [vai noteikta produktu grupa, piemēram, augļi, dārzeņi, vai konkrētu produktu saraksts, piemēram, kartupeļi, burkāni, āboli] jābūt ražotiem saskaņā ar integrētās ražošanas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vismaz 45 procenti no noteiktas produktu grupas masas vai vērtības, piemēram, piena produkti, gaļas produkti, dārzeņi, vai konkrētu produktu saraksts, piemēram, kartupeļi, liellopu gaļa, olas, ko paredzēts izmantot ēdināšanas pakalpojumos, jāatbilst Latvijas nacionālās pārtikas kvalitātes shēmas prasībām, ko apliecina Pārtikas un veterinārā dienesta izsniegts sertifikāts.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sasniegtu % īpatsvaru, pasūtītājs nosaka kalendāro un apjoma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PIEGĀDE UN SEZONĀLI PĀRTIKAS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ogu un dārzeņu piegādes tiks veiktas, ievērojot sezonalitāti;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ko paredzēts izmantot ēdināšanas pakalpojumu nodrošināšanai, jāatbilst vismaz EURO 5 vai V atgāzu emisijas standartam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 vai saskaņā ar Ministru kabineta 2009. gada 22 decembra noteikumu Nr. 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ēdināšanas pakalpojumā izmantoto pārtikas produktu piegāde tiks veikta noteiktā pasūtītāja paredzētā attāluma ietvaros no pārtikas produktu izcelsmes (tikai audzēšanas/ražošanas vietas,) vietas līdz pasūtītāja norādītajai vietai/piegādes adresei ne vairāk kā 250 km ietvaros.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Ēdināšanas pakalpojumu iepirkumam: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izvēlas saimnieciski visizdevīgāko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nosaka katra piedāvājumu vērtēšanas kritērija īpatsvaru, bet ZPI kritērijiem kopā ne mazāk kā 35 procentu apmērā no piedāvājuma vērtēšanas kritēriju kopējās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cenas vai izmaksu kritērijam pasūtītājs paredz īpatsvaru ne vairāk kā 50 procentu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novērtētu saimnieciski visizdevīgāko piedāvājumu, pasūtītājs papildus cenas vai izmaksu kritērijam vērtē sekojošus ZPI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pārtikas produktu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257.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 Iegādājoties pienu un kefīru vairāk kā 35 procentiem no visas piena un kefīra masas vai vērtības (no 2022.gada 1. janvāra vairāk kā 50 procenti)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Iegādājoties graudaugu pārstrādes produktus (piemēram, auzu pārslas, kviešu milti, griķi) vairāk kā 20 procentiem no graudaugu pārstrādes produktu masas vai vērtības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b. Iegādājoties citas produktu grupas [X] procenti no visas produktu masas vai vērtības vai X procenti (no noteiktas produktu grupas, pēc izvēles: piena produktiem (izņemot pienu un kefīru), gaļas produktiem, augļiem un dārzeņiem, vai konkrētu produktu saraksts, pēc izvēles: kartupeļi, liellopu gaļa, olas) jābūt ražotiem atbilstoši bioloģiskās lauksaimniecības metodēm saskaņā ar Padomes 2007. gada 28. jūnija Regulu (EK) Nr.834/2007 par bioloģisko ražošanu un bioloģisko produktu marķēšanu un par Regulas (EEK) Nr.2092/91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[X] procentiem no visas produktu masas vai vērtības vai X procenti [vai noteikta produktu grupa, piemēram, augļi, dārzeņi, vai konkrētu produktu saraksts, piemēram, kartupeļi, burkāni, āboli] jābūt ražotiem saskaņā ar integrētās ražošanas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vairāk kā 45 procenti no noteiktas produktu grupas masas vai vērtības, piemēram, piena produkti, gaļas produkti, dārzeņi, vai konkrētu produktu saraksts, piemēram, kartupeļi, liellopu gaļa, olas, ko paredzēts izmantot ēdināšanas pakalpojumos, jāatbilst Latvijas nacionālās pārtikas kvalitātes shēmas prasībām, ko apliecina Pārtikas un veterinārā dienesta izsniegts sertifikāts.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sasniegtu % īpatsvaru, pasūtītājs nosaka kalendāro un apjoma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piegāde un sezonāli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augļu, ogu un dārzeņu produktu, ko paredzēts izmantot ēdināšanas pakalpojumos, piegāde veikta, ievērojot sezonalitāti;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transportlīdzekļi, ko paredzēts izmantot ēdināšanas pakalpojumu nodrošināšanai, atbilst vismaz EURO 5 vai V atgāzu emisijas standartiem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 vai saskaņā ar Ministru kabineta 2009. gada 22. decembra noteikumu Nr.1494 "Mopēdu, mehānisko transportlīdzekļu, to piekabju un sastāvdaļu atbilstības novērtēšanas noteikumi" 11. pielikuma 41. iedaļā noteiktajām "EURO V" emisiju robežvērtībām;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ēdināšanas pakalpojumā izmantoto pārtikas produktu piegāde veikta noteiktā pasūtītāja paredzētā attāluma ietvaros no pārtikas produktu izcelsmes (tikai audzēšanas/ražošanas) vietas līdz pasūtītāja norādītajai vietai/piegādes adresei ne vairāk kā 250 km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ogu un dārzeņu piegādēm jāievēro Zemkopības ministrijas izstrādātie vietējo augļu, ogu un dārzeņu sezonalitātes kalendāri, kuri publicēti Iepirkumu uzraudzības biroja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Papildu punktus var piešķirt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BIOLOĢISKĀ PĀRTIKA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prasībām atbilstoši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INTEGRĒTĀ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produktu integrētās audzēšanas prasībām atbilstošo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PĀRTIKAS KVALITĀTES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Nacionālās pārtikas kvalitātes shēmas prasībām atbilstošo produktu apjoms, kas pārsniedz tehniskajā specifikācijā norādīto minimālo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iekļauts ir arī aprīkojums, tad nepieciešams ievērot šādus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ledusskapjos un saldētavās, ko paredzēts izmantot, sniedzot ēdināšanas pakalpojumus, nav ozona slāni noārdošās vielas (HCFC un HFC);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aprīkojums atbilst vienam vai vairākiem no turpmāk minētajiem energoefektivitātes standartiem, ja tādi pastāv, ES enerģijas patēriņa marķējums (A klase) vai līdzvērtīgs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 aprīkojums ir efektīvs ūdens patēriņa ziņā saskaņā ar ES marķējumu (A klase) vai līdzvērtīgu standartu.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TĪRĪŠANAS LĪDZEKĻI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Tīrīšanas līdzekļi, kurus paredzēts izmantot, sniedzot ēdināšanas pakalpojumus, atbilst saskaņā ar Eiropas Parlamenta un Padomes Regulu (EK) Nr. 66/2010 (2009. gada 25. novembris) par ES ekomarķējumu izveidotajiem ES ekomarķējuma kritērijiem tīrīšanas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VIDES PĀRVALDĪBAS SISTĒMA (VPS)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punkti tiek piešķirti par vides pārvaldības sistēmu (VPS) ēdināšanas pakalpojumiem.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Ēdināšanas pakalpojumu līgumā pasūtītājs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tehniskajā specifikācijā un vērtēšanas kritērijos noteikto prasību izpildes kontroles mehānismu un atbildību par līguma prasību neizpildīšanu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pienākumu pretendentam, ja tas pats nav bioloģiskās lauksaimniecības vai nacionālās pārtikas kvalitātes shēmas, vai lauksaimniecības produktu integrētās audzēšanas prasībām atbilstošu produktu ražotājs vai audzētājs, attiecībā uz produktiem, kuri atbilst minētajām prasībām, iesniegt pasūtītājam ražotāju un audzētāju sarakstu, norādot to kontaktinformāciju, un ar ražotāju (audzētāju) noslēgtu līgumu par sadarbību ar attiecīgo piegādātāju katra konkrētā pārtikas produktu piegādes līguma izpildē;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pasūtītāja tiesības papildus pakalpojuma sniedzēja norādītajai informācijai un iesniegtajiem dokumentiem veikt piegādāto pārtikas produktu izcelsmes un kvalitātes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pakalpojuma sniedzēja pienākumu iesniegt vienas nedēļas ēdienkarti ar pilnas uzturvērtības aprēķiniem un kalkulāciju, kā arī tehnoloģiskās kartes; Šāda prasība nav attiecināma uz ēdināšanas pakalpojumu līgumiem, kuru termiņš ir 3 mēneši vai mazāk vai kurus noslēdz par ēdināšanas pakalpojumu nodrošināšanu atsevišķu pasākumu (tai skaitā konferenču, semināru, pieredzes apmaiņas braucienu)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pakalpojumu sniedzēja pienākumu iesniegt ēdināšanas pakalpojumam izmantoto galveno pārtikas pamatproduktu sarakstu, norādot produktu ražotāju vai audzētāju un to izcelsmes valsti, atbilstoši tehniskajā specifikācijā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pārtika un dzērieni jāpasniedz, lietojot atkārtoti izmantojamus galda piederumus, traukus un galdautus vai no atjaunojamām izejvielām ražotus galda piederumus, traukus vai izbraukuma ēdināšanas piederumus.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atkritumus, kas radīsies, sniedzot ēdināšanas pakalpojumus, pretendents savāks atsevišķi saskaņā ar pašvaldību saistošajiem noteikumiem, kas ietver [</w:t>
            </w:r>
            <w:r w:rsidR="00000000" w:rsidRPr="00000000" w:rsidDel="00000000">
              <w:rPr>
                <w:i w:val="1"/>
                <w:rtl w:val="0"/>
              </w:rPr>
              <w:t xml:space="preserve">norādiet konkrētas atkritumu frakcijas, kas jāsavāc atsevišķi atbilstoši vietējiem administratīvajiem noteikumiem</w:t>
            </w:r>
            <w:r w:rsidR="00000000" w:rsidRPr="00000000" w:rsidDel="00000000">
              <w:rPr>
                <w:rtl w:val="0"/>
              </w:rPr>
              <w:t xml:space="preserve">] frakcijas.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Pasūtītājs nodrošina noslēgtā ēdināšanas pakalpojuma sniegšanas iepirkuma līguma vai tā kopijas pieejamību uz vietas iestādē, kurā tiek sniegti ēdināšanas pakalpojumi.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Tīrīšanas līdzekļi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ZPI prasības un kritēriji aptver 5 tīrīšanas līdzekļu grupas (cieto virsmu tīrīšanas līdzekļi, mazgāšanas un skalošanas līdzekļi trauku mazgājamām mašīnām, līdzekļi trauku mazgāšanai ar rokām, veļas mazgāšanas līdzekļi un iepriekšējas apstrādes traipu tīrītāji veļas mazgājamām mašīnām, un saimniecības precēm), kā arī tīrīšanas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Prasībās un kritērijos galvenā uzmanība pievērsta būtiskai ietekmei uz vidi, kas saistīta ar dažu bīstamu vielu izmantošanu, produktu pareizai dozēšanai un iepakojumam.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 ZPI prasības un kritēriji cieto virsmu tīrīšanas 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draudzīgu cieto virsmu tīrīšanas līdzekļi (t.sk. universālie tīrīšanas līdzekļi, virtuves virsmu, logu stiklu un sanitāro mezglu tīrīšanas līdzekļi).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Produktiem ir jāatbilst ES ekomarķējuma kritērijiem cietā seguma tīrīšanas līdzekļiem (ES 2017/1217)</w:t>
            </w:r>
            <w:r w:rsidR="00000000" w:rsidRPr="00000000" w:rsidDel="00000000">
              <w:rPr>
                <w:vertAlign w:val="superscript"/>
                <w:rtl w:val="0"/>
              </w:rPr>
              <w:t xml:space="preserve">1</w:t>
            </w:r>
            <w:r w:rsidR="00000000" w:rsidRPr="00000000" w:rsidDel="00000000">
              <w:rPr>
                <w:rtl w:val="0"/>
              </w:rPr>
              <w:t xml:space="preserve"> attiecībā uz aizliegtām vielām, kuras nedrīkst būt iekļautas produkta sastāvā nekādā koncentrācijā, vai ierobežota lietojuma vielām, kur nedrīkst būt pārsniegta norādītā koncentrācija (4. kritērijs), un toksicitāti ūdens organismiem (1.kritērijs).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Produkts, kas iepakots aerosolā, nedrīkst saturēt propelentus.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PRODUKTA MARĶĒJUMA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produkti jāpiegādā ar precīziem norādījumiem par dozēšanu.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IEPAKOJUMA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Produktiem iepakojumā ar dozatoru jābūt pārdošanā kā atkārtotai uzpildīšanai paredzētas sistēmas daļai.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 ZPI prasības un kritēriji līdzekļiem trauku mazgāšanai ar rokām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mazgāšanai ar rokām paredzēti videi draudzīgi līdzekļi.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Produktiem ir jāatbilst ES ekomarķējuma kritērijiem cietā seguma tīrīšanas līdzekļiem (ES 2017/1217)</w:t>
            </w:r>
            <w:r w:rsidR="00000000" w:rsidRPr="00000000" w:rsidDel="00000000">
              <w:rPr>
                <w:vertAlign w:val="superscript"/>
                <w:rtl w:val="0"/>
              </w:rPr>
              <w:t xml:space="preserve">2</w:t>
            </w:r>
            <w:r w:rsidR="00000000" w:rsidRPr="00000000" w:rsidDel="00000000">
              <w:rPr>
                <w:rtl w:val="0"/>
              </w:rPr>
              <w:t xml:space="preserve"> attiecībā uz aizliegtām vielām kuras nedrīkst būt iekļautas produkta sastāvā nekādā koncentrācijā, vai ierobežota lietojuma vielām, kur nedrīkst būt pārsniegta norādītā koncentrācija (4. kritērijs), un toksicitāti ūdens organismiem (1.kritērijs).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MARĶĒJUMA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produkti jāpiegādā ar precīziem norādījumiem par dozēšanu.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 ZPI prasības un kritēriji veļas mazgāšanas līdzekļiem un iepriekšējas apstrādes traipu tīrītājiem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draudzīgi veļas mazgāšanas līdzekļi un iepriekšējas apstrādes traipu tīrītāji.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Produktiem ir jāatbilst ES ekomarķējuma kritērijiem cietā seguma tīrīšanas līdzekļiem (ES 2017/1217)</w:t>
            </w:r>
            <w:r w:rsidR="00000000" w:rsidRPr="00000000" w:rsidDel="00000000">
              <w:rPr>
                <w:vertAlign w:val="superscript"/>
                <w:rtl w:val="0"/>
              </w:rPr>
              <w:t xml:space="preserve">3</w:t>
            </w:r>
            <w:r w:rsidR="00000000" w:rsidRPr="00000000" w:rsidDel="00000000">
              <w:rPr>
                <w:rtl w:val="0"/>
              </w:rPr>
              <w:t xml:space="preserve"> attiecībā uz aizliegtām vielām kuras nedrīkst būt iekļautas produkta sastāvā nekādā koncentrācijā, vai ierobežota lietojuma vielām, kur nedrīkst būt pārsniegta norādītā koncentrācija (4. kritērijs), un toksicitāti ūdens organismiem (1.kritērijs).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Produkta etiķetē, drošības datu lapā (DDL) un citās attiecīgās tehnisko datu lapās norādīto sastāvdaļu sarakstā nedrīkst iekļaut fosfātus.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DOZĒŠANAS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Ieteicamā deva normāli netīru tekstilizstrādājumu (augstas efektivitātes veļas mazgāšanas līdzekļi, krāsām droši veļas mazgāšanas līdzekļi) un viegli netīru tekstilizstrādājumu (zemas efektivitātes veļas mazgāšanas līdzekļi) mazgāšanai ūdenī ar cietību 2,5 mmol CaCO</w:t>
            </w:r>
            <w:r w:rsidR="00000000" w:rsidRPr="00000000" w:rsidDel="00000000">
              <w:rPr>
                <w:vertAlign w:val="subscript"/>
                <w:rtl w:val="0"/>
              </w:rPr>
              <w:t xml:space="preserve">3</w:t>
            </w:r>
            <w:r w:rsidR="00000000" w:rsidRPr="00000000" w:rsidDel="00000000">
              <w:rPr>
                <w:rtl w:val="0"/>
              </w:rPr>
              <w:t xml:space="preserve">/l (vidēji cietā ūdenī) nepārsniedz attiecīgi šādas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2.1.1.augstas efektivitātes veļas mazgāšanas līdzekļi – 17,0 g/kg mazgājamās veļas (pulveri/tabletes) vai 17,0 ml/kg mazgājamās veļas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krāsām droši mazgāšanas līdzekļi – 17,0 g/kg mazgājamās veļas (pulveri/tabletes) vai 17,0 ml/kg mazgājamās veļas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zemas efektivitātes veļas mazgāšanas līdzekļi – 17,0 g/kg mazgājamās veļas (pulveri/tabletes) vai 17,0 ml/kg mazgājamās veļas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piemēro ieteikumus priekšmazgāšanai un turpmākai mazgāšanai, kopējā ieteicamā deva (priekšmazgāšanai un turpmākai mazgāšanai) atbilst maksimālajai devai.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MARĶĒJUMA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produkti jāpiegādā ar precīziem norādījumiem par dozēšanu.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veļas mazgāšanas līdzekļiem jāsniedz informācija par ieteicamo mazgāšanas temperatūru.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5.4. ZPI prasības un kritēriji mazgāšanas līdzekļiem un skalošanas līdzekļiem trauku mazgājamām mašīnām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mazgājamām mašīnām paredzēti videi draudzīgi mazgāšanas līdzekļi un skalošanas līdzekļi.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Produktiem ir jāatbilst ES ekomarķējuma kritērijiem cietā seguma tīrīšanas līdzekļiem (ES 2017/1217)</w:t>
            </w:r>
            <w:r w:rsidR="00000000" w:rsidRPr="00000000" w:rsidDel="00000000">
              <w:rPr>
                <w:vertAlign w:val="superscript"/>
                <w:rtl w:val="0"/>
              </w:rPr>
              <w:t xml:space="preserve">4</w:t>
            </w:r>
            <w:r w:rsidR="00000000" w:rsidRPr="00000000" w:rsidDel="00000000">
              <w:rPr>
                <w:rtl w:val="0"/>
              </w:rPr>
              <w:t xml:space="preserve"> attiecībā uz aizliegtām vielām kuras nedrīkst būt iekļautas produkta sastāvā nekādā koncentrācijā, vai ierobežota lietojuma vielām, kur nedrīkst būt pārsniegta norādītā koncentrācija (4. kritērijs), un toksicitāti ūdens organismiem (1.kritērijs).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Produkta etiķetē, drošības datu lapā (DDL) un citās attiecīgās tehnisko datu lapās norādīto sastāvdaļu sarakstā nedrīkst iekļaut šādas sastāvdaļas: fosfāti.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MARĶĒJUMA UN IEPAKOJUMA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Visi produkti jāpiegādā ar precīziem norādījumiem par dozēšanu.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Kartona iepakojuma sastāvā ir ≥ 80 procenti reciklētu materiālu.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5.5. ZPI prasības un kritēriji saimniecības precēm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draudzīgas roku ziepes, higiēnas papīrs.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ROKU ZIEPES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(prasība tiek piemērota, ja tiek iepirkts attiecīgais 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(ieteicams – 70) % pēc pirkuma apjoma no visām roku ziepēm, kuras pretendentam ir jāpiegādā Pasūtītājam līguma ietvaros, ir jāatbilst ES ekomarķējuma tehniskajām prasībām attiecībā uz noskalojamiem kosmētikas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HIGIĒNAS PAPĪRS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tiek piemērota, ja tiek iepirkts attiecīgais 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salvešpapīra precēm, kuras pretendentam ir jāpiegādā Pasūtītājam līguma ietvaros, ir jāatbilst tehniskajām prasībām, kas paredzētas piemērojamos standartos.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5.6. ZPI prasības un kritēriji tīrīšanas pakalpojumiem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Videi draudzīgi tīrīšanas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PRASĪBAS TĪRĪŠANAS UN MAZGĀŠANAS LĪDZEKĻIEM UN PIEDERUMIEM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Tīrīšanas līdzekļiem, ko izmanto uzņēmumi, kas sniedz tīrīšanas pakalpojumus, jāatbilst attiecīgajiem ZPI kritērijiem par izmantojamajiem tīrīšanas līdzekļiem.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izpildes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attiecas uz līgumiem, kas noslēgti par regulāru telpu uzkopšanu un līguma darbības termiņš pārsniedz 6 mēnešus</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 PAR VIDES VADĪBAS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pirmajiem sešiem līguma darbības mēnešiem un vēlāk katra līguma darbības gada beigās piegādātājam jāiesniedz pārskats, norādot izmantoto tīrīšanas līdzekļu nosaukumus un daudzumu. Attiecībā uz produktiem, kas nav minēti sākotnējā piedāvājumā, piegādātājs iesniedz vajadzīgos pierādījumus par atbilstību tehniskajām specifikācijām.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PERSONĀLS UN DARBA ORGANIZĀCIJA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Visam tīrīšanas pakalpojumu sniegšanā nodarbinātajam personālam jānodrošina regulāra kvalifikācijas celšana tādu darbu veikšanā, kas saistīti ar līguma priekšmetu. Kvalifikācijas celšanas pasākumiem jāaptver apmācības par tīrīšanas līdzekļiem, metodēm, aprīkojumu un izmantojamām ierīcēm, kā arī atkritumu apsaimniekošanas jautājumi un veselības, drošības un vides aizsardzības aspekti.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Iekštelpu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attiecas uz iekštelpu apgaismojuma iepirkumiem. Attiecībā uz šīm prasībām un kritērijiem iekštelpu apgaismojums ir lampas, apgaismes iekārtas (apgaismes armatūra) un apgaismes vadības ierīces, kas atrodas ēku iekštelpās. Kritēriji neattiecas uz dažādiem īpaša apgaismojuma veidiem (piemēram, krāsainu apgaismojumu, vitrīnu, skatuves, reklāmas u.tml. apgaismojumu). Atkarībā no iepirkuma mērķiem, tiek piedāvāti trīs dažādi kritēriju kopumi: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resursus taupošu un energoefektīvu lampu iegādei;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jauna apgaismojuma sistēmas projektēšanai vai esošās apgaismojuma sistēmas renovācijai;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uzstādīšanas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terminu "lampa" šeit apvienota spuldze, diode un gaismeklis.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 ZPI prasības un kritēriji lampām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Resursus taupošas un energoefektīvas lampas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GAISMAS ATDEVE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Nomaiņas lampām, kas paredzētas esošajām ierīcēm, jābūt tādai gaismas atdevei, kas vienāda vai lielāka par attiecīgās enerģijas klases minimālo efektivitāti, kas norādīta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6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359"/>
              <w:gridCol w:w="3101"/>
              <w:tblGridChange w:id="0">
                <w:tblGrid>
                  <w:gridCol w:w="6359"/>
                  <w:gridCol w:w="310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Lampas tips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Attiecīgā enerģijas klase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lampas, tostarp LED un gāzizlādes lampas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w:t>
            </w:r>
            <w:r w:rsidR="00000000" w:rsidRPr="00000000" w:rsidDel="00000000">
              <w:rPr>
                <w:rtl w:val="0"/>
              </w:rPr>
              <w:t xml:space="preserve">. Jāizmanto jaunākā energoefektivitātes klases definīcija.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Lampām, kas paredzētas jaunām un renovētām ierīcēm, jābūt tādai gaismas atdevei, kas vienāda vai lielāka par attiecīgās enerģijas klases minimālo efektivitāti, kas norādīta tabulā turpmāk.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6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22"/>
              <w:gridCol w:w="4538"/>
              <w:tblGridChange w:id="0">
                <w:tblGrid>
                  <w:gridCol w:w="4922"/>
                  <w:gridCol w:w="453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Lampas tips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Attiecīgā enerģijas klase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lampas ar krāsu atveidojuma koeficientu Ra&gt;=90 (ja tas ir nepieciešams ēkā veicamajai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lampas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w:t>
            </w:r>
            <w:r w:rsidR="00000000" w:rsidRPr="00000000" w:rsidDel="00000000">
              <w:rPr>
                <w:rtl w:val="0"/>
              </w:rPr>
              <w:t xml:space="preserve">. Jāizmanto jaunākā energoefektivitātes klases definīcija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EKSPLUATĀCIJAS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Lampām, kas paredzētas jaunām un renovētām ierīcēm, un nomaiņas lampām, kas paredzētas esošajām ierīcēm, jābūt tādam ekspluatācijas laikam, kas nav mazāks par L90B50 pie 50 000 h vai L80B50 pie 100 000h.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EKSPLUATĀCIJAS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punktus piešķir, ja lampas ekspluatācijas laiks ir lielāks nekā L90B50 pie 50 000h vai L80 B50 pie 100 000h.</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 ZPI prasības un kritēriji iekštelpu apgaismojuma projektam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030"/>
        <w:tblGridChange w:id="0">
          <w:tblGrid>
            <w:gridCol w:w="1856"/>
            <w:gridCol w:w="7030"/>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bfbfbf" w:val="clear"/>
                <w:rtl w:val="0"/>
              </w:rPr>
              <w:t xml:space="preserve">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Resursus taupošs un energoefektīvs projekts jaunām apgaismojuma sistēmām vai esošās apgaismojuma sistēmas renovācijai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APGAISMOJUMA ĪPATNĒJĀ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apgaismojumu paredzēts uzstādīt visā ēkā, apgaismojuma maksimālā patērētā jauda visā ēkā, dalot ar kopējo platību, nedrīkst pārsniegt zemāk norādītās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6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67"/>
              <w:gridCol w:w="3293"/>
              <w:tblGridChange w:id="0">
                <w:tblGrid>
                  <w:gridCol w:w="6167"/>
                  <w:gridCol w:w="329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Ēkas tips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Apgaismojuma īpatnējā jauda,</w:t>
                  </w:r>
                  <w:r w:rsidR="00000000" w:rsidRPr="00000000" w:rsidDel="00000000">
                    <w:rPr>
                      <w:rtl w:val="0"/>
                    </w:rPr>
                    <w:t xml:space="preserve"> (W/m</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Autostāvvieta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zāle, muzejs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Ugunsdzēsēju depo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Birojs (galvenokārt nodalītā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Birojs (galvenokārt atvērtais plānojums)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Policijas iecirknis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nodaļa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Sabiedriska zāle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telpas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telpas (tikai kopējās)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ēka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APGAISMOJUMA NORMALIZĒTĀ ĪPATNĒJĀ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apgaismojumu uzstāda individuālā vietā vai ēkas daļā, apgaismojuma maksimālā patērētā jauda šajā vietā, dalot ar kopējo platību un ar tās apgaismotību, kas izteikta 100 luksu vienībās, nedrīkst pārsniegt zemāk norādītās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6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67"/>
              <w:gridCol w:w="3293"/>
              <w:tblGridChange w:id="0">
                <w:tblGrid>
                  <w:gridCol w:w="6167"/>
                  <w:gridCol w:w="329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Telpas veids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Apgaismojuma normalizētā īpatnējā jauda</w:t>
                  </w:r>
                  <w:r>
                    <w:br/>
                  </w:r>
                  <w:r w:rsidR="00000000" w:rsidRPr="00000000" w:rsidDel="00000000">
                    <w:rPr>
                      <w:i w:val="1"/>
                      <w:vertAlign w:val="superscript"/>
                      <w:rtl w:val="0"/>
                    </w:rPr>
                    <w:t xml:space="preserve">(W/m2/100 lx)</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Guļamistabas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Ēdnīcas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Autostāvvietas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Kustības telpas, tostarp lifti, kāpņu telpas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telpas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zāles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Vestibili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Slimnīcu palātas un procedūru telpas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Virtuves (mājsaimniecību)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Virtuves (restorānu)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telpas — lielas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telpas — mazas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Biroji (atvērtais plānojums)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Biroji (nodalītā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Rūpnīcu telpas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telpas/vadības pultis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Cietumu kameras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vieta (piem., slimnīcā/viesnīcā)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vannas istabas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Mazumtirdzniecības telpas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telpas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Noliktavas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Uzgaidāmās telpas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APGAISMES VADĪBAS IERĪČU PROJEKTĒŠANA UN UZSTĀDĪŠANA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Reti apmeklētās telpās apgaismojums jākontrolē ar kustību sensoru, kas izslēdz apgaismojumu pēc tam, kad telpa ir tukša, ja vien nav apdraudēta drošība vai drošums.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Apgaismojums telpās, kas nav aizņemtas naktīs vai nedēļas nogalēs un kur var nejauši atstāt apgaismojumu, jāaprīko ar laika relejiem vai kustību sensoru, lai apgaismojums izslēgtos pēc tam, kad telpa ir tukša naktīs vai nedēļas nogalēs.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Apgaismojuma vadībai telpās ar sānu logiem jābūt sadalītai tā, lai apgaismojuma rindas, kas ir paralēli tuvāk logam, varētu izslēgt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Apgaismojumam birojos, konferenču telpās, skolu klašu telpās un laboratorijās jābūt ierīkotiem pieejamiem slēdžiem, ko var izmantot telpu iemītnieki un kas atrodas ērtās vietās.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APGAISMOJUMS AR REGULĒJAMU APGAISMES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par telpām, kurās būtu ieteicama gaismas intensitātes regulēšana (neskaitot birojus, konferenču telpas, klašu telpas un laboratorijas, kurās apgaismojuma intensitātes regulēšana ir nepieciešama), piešķir atbilstīgi kopējai regulējamā apgaismojuma jaudas procentuālajai attiecībai šādās telpās, kurās iespējams regulēt apgaismojuma intensitāti. Lai to varētu uzskatīt par apgaismojumu ar regulējamu apgaismes intensitāti, apgaismojumam jābūt regulējamam automātiski, lai apgaismes ierīču ekspluatācijas sākumā, kad lampas un apgaismes ierīces ir tīras un spožas, apgaismojumam var regulēt intensitāti tā, lai nodrošinātu nepieciešamo vienmērīgo un nežilbinošo apgaismotību. Ja telpā ir pieejama dienasgaisma, jāierīko automātiskās vadības ierīces, kas reaģē uz dienasgaismu.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APGAISMOJUMS, KAS NEMIRGO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punktus piešķir, ja apgaismojumam ir veikti apgaismojuma mirgošanas (flickering) testi, kas apliecina lampas nemirgošanu tās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APGAISMOJUMA ĪPATNĒJĀ UN NORMALIZĒTĀ ĪPATNĒJĀ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punktus piešķir, ja īpatnējā jauda ir mazāka par 90 procenti no tām vērtībām, kas norādītas iepriekš tabulā 1. punkta prasībā vai ja normalizētā īpatnējā jauda ir mazāka par 90 procenti no tām vērtībām, kas norādītas iepriekš tabulā 2.punkta prasībā.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6.3. ZPI prasības un kritēriji iekštelpu apgaismojuma uzstādīšanai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apgaismojuma sistēmu resursus taupoša un energoefektīva uzstādīšana vai esošās apgaismojuma sistēmas renovācija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NEPIECIEŠAMIE NORĀDĪJUMI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attiecībā uz jaunām vai renovētām apgaismojuma sistēmām iesniedz šādus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apgaismes iekārtu montāžas/uzstādīšanas instrukcijas norādījumus aizliegts izjaukt bez saskaņošanas ar ražotāju vai pieaicinot apmācītu/ kvalificētu speciālistu;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norādījumus lampu nomaiņai un norādījumus, kuras lampas var izmantot apgaismes iekārtās, nepalielinot norādīto īpatnējo jaudu, tikai gadījumos, kad lampas nomaiņa ir piemērota nekvalificētai personai, vai arī norādes par kvalificētas/apmācītas personas iesaisti pretējā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norādījumus, kā lietot un uzturēt apgaismes vadības ierīces, ar norādījumu, ka bez ražotāja atļaujas aizliegts atvērt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norādījumus kustības sensoriem, kā regulēt to jutību un laika aizturi, un ieteikumus, kā to labāk darīt, lai nodrošinātu vizuālās vajadzības bez pārmērīgas enerģijas patēriņa palielināšanas;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norādījumus vadības ierīcēm, kas reaģē uz dienasgaismu, kā tās atkārtoti kalibrēt un regulēt, piemēram, ņemot vērā izmaiņas telpas izkārtojumā;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norādījumus laika relejiem, kā regulēt izslēgšanas laiku, un ieteikumus, kā to labāk darīt, lai nodrošinātu iemītnieku vajadzības bez pārmērīgas enerģijas patēriņa palielināšanas.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VIDES AIZSARDZĪBAS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veic atbilstošus apkārtējās vides aizsardzības pasākumus, lai samazinātu un reģenerētu atkritumus, kas radušies jaunas vai renovētas apgaismojuma sistēmas uzstādīšanas laikā. Visas izlietotās lampas, apgaismes iekārtas un apgaismes vadības ierīces jāsašķiro un jānosūta reģenerēšanai saskaņā ar Ministru kabineta 2014.gada 8.jūlija noteikumiem Nr.388 "Elektrisko un elektronisko iekārtu kategorijas un marķēšanas prasības un šo iekārtu atkritumu apsaimniekošanas prasības un kārtība".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Piegādātājs nodrošina, lai jaunas vai renovētas apgaismojuma sistēmas un vadības iekārtas darbojas pareizi un neizmanto vairāk enerģijas, nekā tas ir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kustības sensoru jutību un laika aizturi iestata noteiktā līmenī, kas atbilst iemītnieku vajadzībām un nevajadzīgi nepatērē enerģiju;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Pārbauda, vai kustības sensori darbojas pareizi un ir pietiekami jutīgi, lai uztvertu iemītnieku parastu kustību;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Vadības ierīces, kas reaģē uz dienasgaismu, kalibrē tā, lai tās izslēdz apgaismojumu, kad dienasgaisma ir pietiekama;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Apgaismojuma intensitātes regulatoru kalibrē tā, lai tas uzturētu telpā nepieciešamā apgaismojuma dienasgaismas un elektriskās gaismas kombinētu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Laika relejiem iestata atbilstošus izslēgšanās laikus, lai nodrošinātu iemītnieku vajadzības bez pārmērīgas enerģijas patēriņa palielināšanas;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pēc telpas lietošanas uzsākšanas apgaismes vadības ierīces šķietami neatbilst iepriekšminētajām prasībām, Piegādātājs noregulē un/vai atkārtoti kalibrē vadības ierīces, lai tās atbilstu.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Piegādātājs nodrošina, lai apgaismojuma aprīkojums (tostarp lampas, apgaismes iekārtas un apgaismes vadības ierīces) tiktu uzstādīts tieši tā, kā norādīts sākotnējā projektā.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Ielu apgaismojums un satiksmes signāli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Ielu apgaismojums ir stacionāras apgaismes ierīces, kas diennakts tumšajās stundās paredzētas labas redzamības nodrošināšanai sabiedriskā transporta zonās, lai veicinātu satiksmes drošību, transporta plūsmu un sabiedrības drošību. Tas ietver gājēju ceļu un veloceliņu funkcionālo apgaismojumu, kā arī ielas un apdzīvotu vietu publiskā lietojumā esošu ceļu braucamās daļas apgaismojumu. Uz ielu apgaismojumu nav attiecināms tuneļu apgaismojums, privāto autostāvvietu apgaismojums, komerciālo vai rūpniecisko āra apgaismojums, sporta laukumu apgaismojums vai dekoratīvās apgaismes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signāli ir sarkanas, dzeltenas un zaļas signālgaismas, kas ietvertas apaļos 200 mm un 300 mm korpusos un kas paredzētas ceļu satiksmei (neattiecas uz pārvietojamām signālgaismām).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un kritēriji saistīti ar ielu apgaismojuma un satiksmes signālu darbību, bet nav attiecināmi uz stabiem, būvniecības stiprinājumiem vai cita veida balstiem un izmantojamām nostiprināšanas ierīcēm.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 ZPI prasības un kritēriji ielu apgaismojuma aprīkojumam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6934"/>
        <w:tblGridChange w:id="0">
          <w:tblGrid>
            <w:gridCol w:w="1856"/>
            <w:gridCol w:w="6934"/>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efektivitātes apgaismojuma aprīkojums (lampas, droseles, apgaismes ierīces)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GAISMEKĻU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nodrošina apgaismojuma sistēmas, kurām kā gaismas avots kalpo gaismas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Uzstādāmo apgaismes ierīču gaismekļu efektivitāte ir augstāka par 137 lm/W.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Piemēro, ja pašreizējā apgaismes ierīcē gaismas avotus vai gaismekļus aizstās un netiks veikta pārveidošana.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DIMMĒŠANAS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 piedāvātajiem gaismekļiem ir jābūt saderīgiem ar aptumšošanas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JAUDAS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Uzstādāmā LED gaismekļa jaudas koeficients ir ≥ 0,92.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RAŽOJUMU EKSPLUATĀCIJAS LAIKS, REZERVES DAĻAS UN GARANTIJA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Jebkuriem gaismas avotiem, kuru pamatā ir gaismas diodes, kalpošanas laiks ir vismaz 100 000h (L90B10) pie 25°C.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LED moduļu remontu vai attiecīgu rezerves daļu nodrošināšanu, kuriem rodas pēkšņa darbības kļūme, attiecas garantija, kura ilgst piecus gadus no uzstādīšanas datuma.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daļām jābūt tādām pašām kā oriģinālajām daļām, taču, ja tas nav iespējams, drīkst izmantot ekvivalentam rezerves daļas, kas veic tādu pašu funkciju tādā pašā vai augstākā veiktspējas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GAISMEKĻA AIZSARDZĪBAS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Gaismekļiem uz M un C klases ceļiem jābūt aprīkotiem ar optisko sistēmu, kuras gaismekļa aizsardzības klase ir vismaz IP65. P klases ceļu gaismekļu aizsardzības klase ir IP55 vai augstāka atkarībā no vietējiem apstākļiem.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1.UZLABOTA GAISMEKĻU KVALITĀTE Punktu skaitu līdz X piešķir pretendentiem, kas spēj nodrošināt gaismas avotus vai gaismekļus, kuri pārsniedz tehniskajā specifikācijā noteikto obligāto gaismekļu efektivitāti.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 ZPI prasības un kritēriji ielu apgaismojuma projektam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Resursus taupošs un energoefektīvs projekts jaunām apgaismojuma sistēmām vai esošās apgaismojuma sistēmas renovācijai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MAKSIMĀLAIS ENERGOEFEKTIVITĀTES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satiksmes maršrutam (M vai C klase) paredzēts izstrādāt jaunu apgaismojuma sistēmu, maksimālais energoefektivitātes rādītājs, ko iegūst, ja sistēmas vidējo jaudu izdala ar nepieciešamo ceļa virsmas spilgtumu un apgaismojamo laukumu, nedrīkst pārsniegt zemāk norādītās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10"/>
              <w:gridCol w:w="6550"/>
              <w:tblGridChange w:id="0">
                <w:tblGrid>
                  <w:gridCol w:w="2910"/>
                  <w:gridCol w:w="655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Lampas jauda, </w:t>
                  </w:r>
                  <w:r w:rsidR="00000000" w:rsidRPr="00000000" w:rsidDel="00000000">
                    <w:rPr>
                      <w:i w:val="1"/>
                      <w:rtl w:val="0"/>
                    </w:rPr>
                    <w:t xml:space="preserve">(W)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energoefektivitātes rādītājs, </w:t>
                  </w:r>
                  <w:r w:rsidR="00000000" w:rsidRPr="00000000" w:rsidDel="00000000">
                    <w:rPr>
                      <w:i w:val="1"/>
                      <w:vertAlign w:val="superscript"/>
                      <w:rtl w:val="0"/>
                    </w:rPr>
                    <w:t xml:space="preserve">(W/cd/m2</w:t>
                  </w:r>
                  <w:r w:rsidR="00000000" w:rsidRPr="00000000" w:rsidDel="00000000">
                    <w:rPr>
                      <w:rtl w:val="0"/>
                    </w:rPr>
                    <w:t xml:space="preserve"> · </w:t>
                  </w:r>
                  <w:r w:rsidR="00000000" w:rsidRPr="00000000" w:rsidDel="00000000">
                    <w:rPr>
                      <w:i w:val="1"/>
                      <w:vertAlign w:val="superscript"/>
                      <w:rtl w:val="0"/>
                    </w:rPr>
                    <w:t xml:space="preserve">m2)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 ≤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&lt; W ≤ 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&lt; W</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jaunu apgaismojuma sistēmu paredzēts izstrādāt pretrunīgai zonai, piemēram, ceļu krustojumam, iepirkšanās ielai vai dzīvojamās zonas ielai, kājceliņam vai veloceliņam (CE vai S klase), nedrīkst pārsniegt zemāk norādītās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72"/>
              <w:gridCol w:w="5688"/>
              <w:tblGridChange w:id="0">
                <w:tblGrid>
                  <w:gridCol w:w="3772"/>
                  <w:gridCol w:w="568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Nepieciešamā apgaismotība,</w:t>
                  </w:r>
                  <w:r w:rsidR="00000000" w:rsidRPr="00000000" w:rsidDel="00000000">
                    <w:rPr>
                      <w:rtl w:val="0"/>
                    </w:rPr>
                    <w:t xml:space="preserve"> </w:t>
                  </w:r>
                  <w:r w:rsidR="00000000" w:rsidRPr="00000000" w:rsidDel="00000000">
                    <w:rPr>
                      <w:i w:val="1"/>
                      <w:rtl w:val="0"/>
                    </w:rPr>
                    <w:t xml:space="preserve">(luksi)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energoefektivitātes rādītājs,</w:t>
                  </w:r>
                  <w:r w:rsidR="00000000" w:rsidRPr="00000000" w:rsidDel="00000000">
                    <w:rPr>
                      <w:rtl w:val="0"/>
                    </w:rPr>
                    <w:t xml:space="preserve"> </w:t>
                  </w:r>
                  <w:r w:rsidR="00000000" w:rsidRPr="00000000" w:rsidDel="00000000">
                    <w:rPr>
                      <w:i w:val="1"/>
                      <w:vertAlign w:val="superscript"/>
                      <w:rtl w:val="0"/>
                    </w:rPr>
                    <w:t xml:space="preserve">(W/lx· m2)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 15 luksi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&gt; 15 luksi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0,044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paredzēts izstrādāt jaunu apgaismojuma sistēmu, papildu punktus piešķir, ja energoefektivitātes rādītāji ir mazāki par 90 procenti no tiem, kas sniegti iepriekš atbilstošajās tabulās 1.1. un 1.2. punktā norādītajās prasībās.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gaismas intensitātes regulēšana ir nepieciešama un/vai ieteicama, papildu punktus piešķir atbilstīgi gaismas intensitātes regulēšanas procentuālajai attiecībai pret lampas jaudu.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Piezīme.</w:t>
            </w:r>
            <w:r w:rsidR="00000000" w:rsidRPr="00000000" w:rsidDel="00000000">
              <w:rPr>
                <w:rtl w:val="0"/>
              </w:rPr>
              <w:t xml:space="preserve"> Droseļu ar apgaismojuma regulatoru izmantošana ir atkarīga no atrašanās vietas un citiem aspektiem, piemēram, apkārtējās gaismas līmeņa.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 ZPI prasības un kritēriji ielu apgaismojuma uzstādīšanai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 un pamatkritēriji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apgaismojuma sistēmu resursus taupoša un energoefektīva uzstādīšana vai esošās apgaismojuma sistēmas renovācija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NEPIECIEŠAMIE NORĀDĪJUMI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Piegādātājs jaunu vai renovētu apgaismojuma sistēmu uzstādīšanai iesniedz šādus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apgaismes iekārtu izjaukšanas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norādījumus lampu nomaiņai un norādījumus, kuras lampas var izmantot apgaismes iekārtās, nesamazinot norādīto energoefektivitāti;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norādījumus, kā lietot un uzturēt apgaismes vadības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norādījumus vadības ierīcēm, kas reaģē uz dienasgaismu, kā tās atkārtoti kalibrēt un regulēt;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norādījumus laika relejiem, kā regulēt izslēgšanas laiku, un ieteikumus, kā to labāk darīt, lai nodrošinātu vizuālās vajadzības bez pārmērīgas enerģijas patēriņa palielināšanas.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izpildes noteikumi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Piegādātājs nodrošina, lai jaunas vai renovētas apgaismojuma sistēmas un vadības iekārtas darbojas pareizi un neizmanto vairāk enerģijas, nekā tas ir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Vadības ierīces, kas reaģē uz dienas gaismu, jākalibrē tā, lai tās izslēdz apgaismojumu, kad dienasgaisma ir pietiekama.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Laika relejiem iestata atbilstošus izslēgšanās laikus, lai nodrošinātu vizuālās vajadzības bez pārmērīgas enerģijas patēriņa palielināšanas.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pēc sistēmas nodošanas ekspluatācijā apgaismes vadības ierīces šķietami neatbilst iepriekšminētajām prasībām, piegādātājs noregulē un/vai atkārtoti kalibrē vadības ierīces, lai tās atbilstu.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Piegādātājs nodrošina, lai apgaismojuma aprīkojums (tostarp lampas, apgaismes iekārtas un apgaismes vadības ierīces) tiktu uzstādīts tieši tā, kā norādīts sākotnējā projektā.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Piegādātājs veic atbilstošus apkārtējās vides aizsardzības pasākumus, lai samazinātu un reģenerētu atkritumus, kas radušies jaunas vai renovētas apgaismojuma sistēmas uzstādīšanas laikā. Visas izlietotās lampas, apgaismes iekārtas un apgaismes vadības ierīces jāsašķiro un jānosūta reģenerēšanai saskaņā ar Ministru kabineta 2014.gada 8.jūlija noteikumiem Nr.388 "Elektrisko un elektronisko iekārtu kategorijas un marķēšanas prasības un šo iekārtu atkritumu apsaimniekošanas prasības un kārtība".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 ZPI prasības satiksmes signāliem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7604"/>
        <w:tblGridChange w:id="0">
          <w:tblGrid>
            <w:gridCol w:w="1856"/>
            <w:gridCol w:w="7604"/>
          </w:tblGrid>
        </w:tblGridChange>
      </w:tblGrid>
      <w:tr>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Iepirkuma dokumentu sastāvdaļas</w:t>
            </w:r>
          </w:p>
        </w:tc>
        <w:tc>
          <w:tcPr>
            <w:shd w:fill="bfbfb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bfbfbf" w:val="clear"/>
                <w:rtl w:val="0"/>
              </w:rPr>
              <w:t xml:space="preserve">ZPI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līguma priekšmets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Energoefektīvu satiksmes signālu iegāde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specifikācijas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PATĒRĒTĀ JAUDA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pasūtītājs uzstāda jaunus vai modernizē tehnoloģiski novecojušus satiksmes signālus, signālu moduļu patērētā jauda nepārsniedz zemāk norādītās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7544.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443"/>
              <w:gridCol w:w="5017"/>
              <w:tblGridChange w:id="0">
                <w:tblGrid>
                  <w:gridCol w:w="4443"/>
                  <w:gridCol w:w="501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Moduļa tips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Ekspluatācijas jauda,</w:t>
                  </w:r>
                  <w:r w:rsidR="00000000" w:rsidRPr="00000000" w:rsidDel="00000000">
                    <w:rPr>
                      <w:rtl w:val="0"/>
                    </w:rPr>
                    <w:t xml:space="preserve"> </w:t>
                  </w:r>
                  <w:r w:rsidR="00000000" w:rsidRPr="00000000" w:rsidDel="00000000">
                    <w:rPr>
                      <w:i w:val="1"/>
                      <w:vertAlign w:val="superscript"/>
                      <w:rtl w:val="0"/>
                    </w:rPr>
                    <w:t xml:space="preserve">(25 oC temperatūrā)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sarkans aplis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mm sarkans aplis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sarkana bulta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dzeltens aplis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mm dzeltens aplis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dzeltena bulta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zaļš aplis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mm zaļš aplis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 mm zaļa bulta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iepriekš norādītās jaudas prasības attiecas uz atsevišķu moduli, nevis visu luksoforu. Šīs vērtības ietver lampas padeves ķēdes enerģijas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KALPOŠANAS LAIKS UN REZERVES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LED gaismas avotu aprēķinātais kalpošanas laiks 25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L96 — 6000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L70 — 50 000 stundu (prognozēts);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L0C0 — 3000 stundu vai C10 — 6000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C50 — 50 000 stundu (prognozēts).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tādu LED moduļu remontu vai attiecīgu rezerves daļu nodrošināšanu, kuriem rodas pēkšņa darbības kļūme, attiecas garantija, kura ilgst piecus gadus no uzstādīšanas datuma. Rezerves daļām jābūt tādām pašām kā oriģinālajām daļām, taču, ja tas nav iespējams, drīkst izmantot ekvivalentas rezerves daļas, kas veic tādu pašu funkciju tādā pašā vai augstākā veiktspējas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APRITES CIKLA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Aprites cikla izmaksas aprēķinam (ja tas tiek noteikts kā piedāvājuma izvēles kritērijs), pretendentam jāiesniedz šāda informācija, pamatojoties uz iepirkuma veicēja noteiktajām specifikācijām: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laikposms, kurā spuldzēm piemēro garantiju pēkšņas darbības kļūmes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aprēķinātais lampas ekspluatācijas laiks (t. i., laiks, kad lampas gaismas plūsma, kā paredzēts, samazināsies līdz 70 % no sākotnējās gaismas plūsmas);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lampu iegādes izmaksas (sākumā un attiecībā uz jebkādu nepieciešamu nomaiņu noteiktajā laikposmā);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jebkādu palīgierīču iegādes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jebkādu stabu, pamatu un jaunu elektrisko savienojumu iegādes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uzstādīšanas izmaksas (darba stundas reizina ar darba izmaksu likmēm un pieskaita jebkādas izmaksas par pacelšanas ierīcēm utt.).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Piedāvājuma izvērtēšanas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APRITES CIKLA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tiek noteikta 3. TS prasība)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X punktus piešķir pretendentam, kura piedāvājumā norādītas zemākās aprites cikla izmaksas. Citiem pretendentiem punktus piešķir proporcionāli to norādītajām aprites cikla izmaksām salīdzinājumā ar zemākajām izmaksām,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3802"/>
              <w:gridCol w:w="3802"/>
              <w:tblGridChange w:id="0">
                <w:tblGrid>
                  <w:gridCol w:w="3802"/>
                  <w:gridCol w:w="3802"/>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zemākās AC izmaksas</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 Maksimālais punktu skaits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attiecīgā piedāvājuma AC izmaksas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22-TA-2058</w:t>
    </w:r>
    <w:r>
      <w:br/>
    </w:r>
    <w:r w:rsidR="00000000" w:rsidRPr="00000000" w:rsidDel="00000000">
      <w:rPr>
        <w:rtl w:val="0"/>
      </w:rPr>
      <w:t xml:space="preserve">Izdrukāts 29.07.2026. 21.49 - 1.0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22-TA-2058</w:t>
    </w:r>
    <w:r>
      <w:br/>
    </w:r>
    <w:r w:rsidR="00000000" w:rsidRPr="00000000" w:rsidDel="00000000">
      <w:rPr>
        <w:rtl w:val="0"/>
      </w:rPr>
      <w:t xml:space="preserve">Izdrukāts 29.07.2026. 21.49 - 1.0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noteikumu_(grozījumu)_projekts_p1_22-TA-2058.docx</dc:title>
</cp:coreProperties>
</file>

<file path=docProps/custom.xml><?xml version="1.0" encoding="utf-8"?>
<Properties xmlns="http://schemas.openxmlformats.org/officeDocument/2006/custom-properties" xmlns:vt="http://schemas.openxmlformats.org/officeDocument/2006/docPropsVTypes"/>
</file>