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83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 februārī (prot. Nr. 5 14.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Darbības programmas "Izaugsme un nodarbinātība" 6.1.7. specifiskā atbalsta mērķa "Multimodāla transporta sistēmas iespējošana" 6.1.7.2. pasākuma "Pētījumu, novērtējumu un saistītās dokumentācijas izstrāde ilgtspējīga, integrēta un koordinēta multimodāla sabiedriskā transporta plāna priekšlikuma sagatavošanai Rīgas metropoles areālā"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Eiropas Savienības struktūrfondu un Kohēzijas fonda 2014.-2020.gada plānošanas perioda vadības likuma</w:t>
      </w:r>
      <w:r w:rsidR="00000000" w:rsidRPr="00000000" w:rsidDel="00000000">
        <w:rPr>
          <w:rStyle w:val="paragraph"/>
          <w:i w:val="1"/>
          <w:rtl w:val="0"/>
        </w:rPr>
        <w:t xml:space="preserve"> </w:t>
      </w:r>
      <w:r w:rsidR="00000000" w:rsidRPr="00000000" w:rsidDel="00000000">
        <w:rPr>
          <w:rStyle w:val="paragraph"/>
          <w:i w:val="1"/>
          <w:rtl w:val="0"/>
        </w:rPr>
        <w:t xml:space="preserve">20.panta</w:t>
      </w:r>
      <w:r w:rsidR="00000000" w:rsidRPr="00000000" w:rsidDel="00000000">
        <w:rPr>
          <w:rStyle w:val="paragraph"/>
          <w:i w:val="1"/>
          <w:rtl w:val="0"/>
        </w:rPr>
        <w:t xml:space="preserve"> </w:t>
      </w:r>
      <w:r w:rsidR="00000000" w:rsidRPr="00000000" w:rsidDel="00000000">
        <w:rPr>
          <w:rStyle w:val="paragraph"/>
          <w:i w:val="1"/>
          <w:rtl w:val="0"/>
        </w:rPr>
        <w:t xml:space="preserve">6. un 13.punktu</w:t>
      </w:r>
      <w:r w:rsidR="00000000" w:rsidRPr="00000000" w:rsidDel="00000000">
        <w:rPr>
          <w:rStyle w:val="paragraph"/>
          <w:i w:val="1"/>
          <w:rtl w:val="0"/>
        </w:rPr>
        <w:t xml:space="preserve">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darbības programmas "Izaugsme un nodarbinātība" prioritārā virziena "Ilgtspējīga transporta sistēma" 6.1.7. specifiskā atbalsta mērķa "Multimodāla transporta sistēmas iespējošana" 6.1.7.2. pasākumu "Pētījumu, novērtējumu un saistītās dokumentācijas izstrāde ilgtspējīga, integrēta un koordinēta multimodāla sabiedriskā transporta plāna priekšlikuma sagatavošanai Rīgas metropoles areālā" (turpmāk – pasākums) un tā ietvaros apstiprinātos projektus;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Kohēzijas fonda projekta iesniedzējam (turpmāk – projekta iesniedzējs);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vienošanās par projekta īstenošanu (turpmāk – vienošanās) vienpusējā uzteikuma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veikt pētījumus, novērtējumus un saistītās dokumentācijas izstrādi ilgtspējīga, integrēta un koordinēta multimodāla sabiedriskā transporta plāna priekšlikuma sagatavošanai Rīgas metropoles areālā.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 Rīgas metropoles areāla satiksmes dalībnieki, sabiedriskā transporta un saistīto pakalpojumu lietotāji.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Pasākumu īsteno līdz 2023. gada 31. decembrim, sasniedzot šādus nacionālā līmeņa uzraudzības rādītājus: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veikto pētījumu skaits – vismaz 3;</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veikto novērtējumu skaits – vismaz 1;</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rādītājs – sagatavots ilgtspējīga integrēta sabiedriskā transporta plāna priekšlikums Rīgas metropoles areālam.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ietvaros atbildīgās iestādes funkcijas pilda Satiksmes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Pasākumam pieejamais kopējais attiecināmais finansējums nav mazāks par 1 176 470 </w:t>
      </w:r>
      <w:r w:rsidR="00000000" w:rsidRPr="00000000" w:rsidDel="00000000">
        <w:rPr>
          <w:i w:val="1"/>
          <w:rtl w:val="0"/>
        </w:rPr>
        <w:t xml:space="preserve">euro</w:t>
      </w:r>
      <w:r w:rsidR="00000000" w:rsidRPr="00000000" w:rsidDel="00000000">
        <w:rPr>
          <w:rtl w:val="0"/>
        </w:rPr>
        <w:t xml:space="preserve">, tai skaitā Kohēzijas fonda finansējums nepārsniedz 1 000 000 </w:t>
      </w:r>
      <w:r w:rsidR="00000000" w:rsidRPr="00000000" w:rsidDel="00000000">
        <w:rPr>
          <w:i w:val="1"/>
          <w:rtl w:val="0"/>
        </w:rPr>
        <w:t xml:space="preserve">euro </w:t>
      </w:r>
      <w:r w:rsidR="00000000" w:rsidRPr="00000000" w:rsidDel="00000000">
        <w:rPr>
          <w:rtl w:val="0"/>
        </w:rPr>
        <w:t xml:space="preserve">un valsts budžeta finansējums nav mazāks par 176 470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Maksimālais attiecināmais Kohēzijas fonda finansējuma apmērs nepārsniedz 85 % no projektam plānotā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ietvaros finansējumu piešķir ar saimniecisku darbību nesaistīta projekta īstenošanai.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Prasības projekta iesniedzējam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iesniedzējs pasākuma ietvaros ir Satiksmes ministrija.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iesniedzējs, kas pēc projekta iesnieguma apstiprināšanas ir arī finansējuma saņēmējs (turpmāk – finansējuma saņēmējs), sagatavo un, izmantojot Kohēzijas politikas fondu vadības informācijas sistēmu 2014.–2020. gadam, elektroniski iesniedz sadarbības iestādē projekta iesniegumu saskaņā ar projektu iesniegumu atlases nolikuma prasībām.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Pasākuma ietvaros atbalstāmās darbības ir pētījumu, novērtējumu un saistītās dokumentācijas izstrāde, kas nepieciešama ilgtspējīga, integrēta un koordinēta multimodāla sabiedriskā transporta plāna priekšlikuma sagatavošanai Rīgas metropoles areālam un aptver dzelzceļa pakalpojuma piedāvājuma, optimālā dzelzceļa elektrifikācijas scenārija un bezizmešu ritošā sastāva tehnoloģijas, sabiedriskā transporta un mikromobilitātes infrastruktūras, attīstāmo maršrutu un multimodālo mobilitātes punktu un saistīto nosacījumu attīstības vajadzības.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Pasākuma ietvaros plāno šādas tiešās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pētījumu, novērtējumu, iepirkumu dokumentācijas, izmaksu un ieguvumu analīzes izstrādes ārpakalpojuma izmaksas, kas atbilst šo noteikumu atbalstāmajām darbībām un sekmē rādītāju izpildi;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saņēmēja projekta vadības personāla un īstenošanas personāla atlīdzības izmaksas šo noteikumu atbalstāmo darbību ietvaros plāno saskaņā ar Eiropas Parlamenta un Padomes 2013. gada 17. decembra Regulas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68.a panta 1. punktu kā vienu izmaksu pozīciju, piemērojot vienoto izmaksu likmi 10 procentu apmērā no šo noteikumu 13.1. apakšpunktā minētajām projekta tiešajām attiecināmajām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Pievienotās vērtības nodokļa izmaksas šo noteikumu </w:t>
      </w:r>
      <w:r w:rsidR="00000000" w:rsidRPr="00000000" w:rsidDel="00000000">
        <w:rPr>
          <w:rtl w:val="0"/>
        </w:rPr>
        <w:t xml:space="preserve">13.1. </w:t>
      </w:r>
      <w:r w:rsidR="00000000" w:rsidRPr="00000000" w:rsidDel="00000000">
        <w:rPr>
          <w:rtl w:val="0"/>
        </w:rPr>
        <w:t xml:space="preserve">apakšpunktā</w:t>
      </w:r>
      <w:r w:rsidR="00000000" w:rsidRPr="00000000" w:rsidDel="00000000">
        <w:rPr>
          <w:rtl w:val="0"/>
        </w:rPr>
        <w:t xml:space="preserve"> minētajām izmaksu pozīcijām ir attiecināmās izmaksas, ja tās nav atgūstamas atbilstoši normatīvajiem aktiem nodokļu politikas 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Projekta netiešās attiecināmās izmaksas plāno kā vienu izmaksu pozīciju 15 % apmērā no šo noteikumu </w:t>
      </w:r>
      <w:r w:rsidR="00000000" w:rsidRPr="00000000" w:rsidDel="00000000">
        <w:rPr>
          <w:rtl w:val="0"/>
        </w:rPr>
        <w:t xml:space="preserve">13.2.</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Pasākuma atbalstāmo darbību ietvaros radušās izmaksas ir attiecināmās izmaksas finansēšanai no Kohēzijas fonda un valsts budžeta līdzfinansējuma, ja tās atbilst šo noteikumu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minētajām atbalstāmajām darbībām,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minētajām attiecināmajām izmaksām un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minētajiem ierobežojumiem un ir radušās ne agrāk kā no 2021. gada 16. jūnija.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Projekta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informācijas un publicitātes pasākumus, kas noteikti Eiropas Parlamenta un Padomes 2013. gada 17. decembra Regulā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un normatīvajos aktos par kārtību, kādā Eiropas Savienības struktūrfondu un Kohēzijas fonda ieviešanā 2014.–2020. gada plānošanas periodā nodrošināma komunikācijas un vizuālās identitātes prasību ievērošana;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 retāk kā reizi pusgadā savā tīmekļvietnē ievieto aktuālu informāciju par projekta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ka projektā plānotie darbi netiek finansēti vai līdzfinansēti, kā arī nav plānots tos finansēt vai līdzfinansēt no citiem valsts un ārvalstu finanšu atbalsta instrumentiem;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ka projekta ietvaros veiktie pētījumi un rezultāti būs publiski pieejami, ievērojot Ministru kabineta 2013. gada 3. janvāra noteikumus Nr. 1 "Kārtība, kādā publiska persona pasūta pētījumus".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Sadarbības iestādei ir tiesības vienpusēji atkāpties no noslēgtās vienošanās jebkurā no šādiem gadījumiem: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vienošanos, tostarp netiek ievēroti projektā noteiktie termiņi vai ir iestājušies citi apstākļi, kas negatīvi ietekmē vai var ietekmēt pasākuma rādītāju un rezultātu rādītāju sasniegšanu;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citos gadījumos, kas noteikti vienošanās nosacījumos.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Pasākuma ietvaros projektu īsteno saskaņā ar vienošanos, bet ne ilgāk kā līdz 2023.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Projekta īstenošanas vieta ir Latvijas Republikas teritorija.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T. Linkaits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21-TA-408</w:t>
    </w:r>
    <w:r>
      <w:br/>
    </w:r>
    <w:r w:rsidR="00000000" w:rsidRPr="00000000" w:rsidDel="00000000">
      <w:rPr>
        <w:rtl w:val="0"/>
      </w:rPr>
      <w:t xml:space="preserve">Izdrukāts 29.07.2026. 22.47 - 1.0.VK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21-TA-408</w:t>
    </w:r>
    <w:r>
      <w:br/>
    </w:r>
    <w:r w:rsidR="00000000" w:rsidRPr="00000000" w:rsidDel="00000000">
      <w:rPr>
        <w:rtl w:val="0"/>
      </w:rPr>
      <w:t xml:space="preserve">Izdrukāts 29.07.2026. 22.47 - 1.0.VK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noteikumu_projekts_21-TA-408.docx</dc:title>
</cp:coreProperties>
</file>

<file path=docProps/custom.xml><?xml version="1.0" encoding="utf-8"?>
<Properties xmlns="http://schemas.openxmlformats.org/officeDocument/2006/custom-properties" xmlns:vt="http://schemas.openxmlformats.org/officeDocument/2006/docPropsVTypes"/>
</file>