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2023. gada 19. septembra noteikumos Nr. 538 "Eiropas Savienības kohēzijas politikas programmas 2021.–2027. gadam 4.3.1. 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4.3.1.3. pasākuma "Sociālo mājokļu atjaunošana vai jaunu sociālo mājokļu būvniecība"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Atļaut Centrālajai finanšu un līgumu aģentūrai (turpmāk - CFLA) kā Eiropas Savienības fondu sadarbības iestādei: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vērtēt un apstiprināt 4.3.1.3. pasākuma "Sociālo mājokļu atjaunošana vai jaunu sociālo mājokļu būvniecība" īstenošanas noteikumi (turpmāk - 4.3.1.3. pasākums) 1.kārtas 2.uzsaukuma projektu iesniegumu atlasē iesniegtos projekta iesniegumus, kas atbilst projektu iesniegumu vērtēšanas kritērijiem un Ministru kabineta 2023.gada 19.septembra noteikumos Nr.538 "Eiropas Savienības kohēzijas politikas programmas 2021.–2027. gadam 4.3.1. 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4.3.1.3. pasākuma "Sociālo mājokļu atjaunošana vai jaunu sociālo mājokļu būvniecība" īstenošanas noteikumi" noteiktajiem nosacījumiem par 4.3.1.3. pasākuma 1.kārtas 2.uzsaukumam pieejamo finansējumu 9 337 613 </w:t>
      </w:r>
      <w:r w:rsidR="00000000" w:rsidRPr="00000000" w:rsidDel="00000000">
        <w:rPr>
          <w:i w:val="1"/>
          <w:rtl w:val="0"/>
        </w:rPr>
        <w:t xml:space="preserve">euro</w:t>
      </w:r>
      <w:r w:rsidR="00000000" w:rsidRPr="00000000" w:rsidDel="00000000">
        <w:rPr>
          <w:rtl w:val="0"/>
        </w:rPr>
        <w:t xml:space="preserve"> apmērā, tai skaitā, Eiropas Reģionālās attīstības fonda elastības finansējumu ne vairāk kā 865 356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pēc projektu iesniegumu apstiprināšanas 4.3.1.3. pasākuma 1.kārtas 2.uzsaukuma ietvaros slēgt ar finansējuma saņēmējiem līgumus vai vienošanās par projektu īstenošanu par 4.3.1.3. pasākuma 1.kārtas 2.uzsaukumam plānoto finansējumu 9 337 613 </w:t>
      </w:r>
      <w:r w:rsidR="00000000" w:rsidRPr="00000000" w:rsidDel="00000000">
        <w:rPr>
          <w:i w:val="1"/>
          <w:rtl w:val="0"/>
        </w:rPr>
        <w:t xml:space="preserve">euro</w:t>
      </w:r>
      <w:r w:rsidR="00000000" w:rsidRPr="00000000" w:rsidDel="00000000">
        <w:rPr>
          <w:rtl w:val="0"/>
        </w:rPr>
        <w:t xml:space="preserve"> apmērā, tai skaitā, Eiropas Reģionālās attīstības fonda elastības finansējumu ne vairāk kā 865 356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Atļaut CFLA kā Eiropas Savienības fondu sadarbības iestādei pēc projektu iesniegumu apstiprināšanas 4.3.1.3. pasākuma 2.kārtas ietvaros slēgt ar finansējuma saņēmējiem līgumus vai vienošanās par projektu īstenošanu par 4.3.1.3. pasākuma visu 2.kārtai plānoto finansējumu, tai skaitā, ERAF elastības finansējumu ne vairāk kā 4 849 341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netiek saņemts pozitīvs Eiropas Komisijas lēmums par grozījumiem Eiropas Savienības kohēzijas politikas programmā 2021.-2027. gadam, kas skar 4.3.1.3. pasākuma projektu iesniegumu atlases elastības finansējuma izmantošanu, Ekonomikas ministrijai sagatavot un ekonomikas ministram iesniegt izskatīšanai Ministru kabinetā informatīvo ziņojumu par priekšlikumiem turpmākai rīcībai.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Atzīt par spēku zaudējušu Ministru kabineta 2025. gada 20.maija sēdes protokollēmuma (prot. Nr. 20 3. §) "Noteikumu projekts "Noteikumu projekts "Grozījumi Ministru kabineta 2023. gada 19. septembra noteikumos Nr. 538 "Eiropas Savienības kohēzijas politikas programmas 2021.–2027. gadam 4.3.1. 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4.3.1.3. pasākuma "Sociālo mājokļu atjaunošana vai jaunu sociālo mājokļu būvniecība" īstenošanas noteikumi""" 4. un 5. punktu.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25-TA-2094</w:t>
    </w:r>
    <w:r>
      <w:br/>
    </w:r>
    <w:r w:rsidR="00000000" w:rsidRPr="00000000" w:rsidDel="00000000">
      <w:rPr>
        <w:rtl w:val="0"/>
      </w:rPr>
      <w:t xml:space="preserve">Izdrukāts 29.07.2026. 21.25 - 4.0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mk_sēdes_protokollēmuma_projekts_25-TA-2094.docx</dc:title>
</cp:coreProperties>
</file>

<file path=docProps/custom.xml><?xml version="1.0" encoding="utf-8"?>
<Properties xmlns="http://schemas.openxmlformats.org/officeDocument/2006/custom-properties" xmlns:vt="http://schemas.openxmlformats.org/officeDocument/2006/docPropsVTypes"/>
</file>