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 jūnija noteikumos Nr. 352 "Latvijas Goda ģimenes apliecības programmas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w:t>
      </w:r>
      <w:r>
        <w:br/>
      </w:r>
      <w:r w:rsidR="00000000" w:rsidRPr="00000000" w:rsidDel="00000000">
        <w:rPr>
          <w:rStyle w:val="paragraph"/>
          <w:i w:val="1"/>
          <w:rtl w:val="0"/>
        </w:rPr>
        <w:t xml:space="preserve">likuma</w:t>
      </w:r>
      <w:r w:rsidR="00000000" w:rsidRPr="00000000" w:rsidDel="00000000">
        <w:rPr>
          <w:rStyle w:val="paragraph"/>
          <w:i w:val="1"/>
          <w:rtl w:val="0"/>
        </w:rPr>
        <w:t xml:space="preserve"> 26. 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 jūnija noteikumos Nr. 352 "Latvijas Goda ģimenes apliecības programmas īstenošanas kārtība" (Latvijas Vēstnesis, 2021, 107.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Latvijas Goda ģimenes apliecības programmas (turpmāk – programma) īstenošanas kārtību, tai skaitā Latvijas Goda ģimenes apliecības (turpmāk – apliecība) piešķiršanas, izsniegšanas, izmantošanas, anulēšanas gadījumus un kārtību, kā arī ierobežojumus apliecības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Apliecības piešķiršana, izsniegšana un anulēšana".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bērns ar invaliditāti vai pilngadīga persona, kura nav sasniegusi 24 gadu vecumu, ja viņai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atzīmi par bērna invaliditāti vai pilngadīgas personas  invaliditāti, ja viņai ir noteikta I vai II invaliditātes grupa un viņa nav sasniegusi 24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Pēc fonda pieprasījuma saņemšanas Pilsonības un migrācijas lietu pārvalde Fizisko personu reģistrā pārbauda un sniedz fondam informāciju par to,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nav reģistrēts personas miršanas fakts un personas statuss ir aktīvs;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personai vienai vai kopā ar laulāto ir trīs bērni vai vairāk, tai skaitā audžuģimenē vai aizbildnībā esoši bērni, vai pilngadīgas personas, kuras nav sasniegušas 24 gadu vecumu un par kurām nav reģistrēts miršanas fakts, un kuru personas statuss ir aktīvs, un norāda personas kodu,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personai vienai vai kopā ar laulāto esošajam bērnam vai pilngadīgai personai, kura nav sasniegusi 24 gadu vecumu un par kuru pieprasījumā izdarīta atzīme par invaliditāti, nav reģistrēts miršanas fakts un personas statuss ir aktīvs, un norāda personas kodu, vārdu un uzvārdu;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personai un viņas laulātajam nav pārtrauktas vai atņemtas bērnu aizgādības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personai un šo noteikumu 14.2. un 14.3. apakšpunktā minētajām personām deklarētā vai reģistrētā dzīvesvieta ir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Lai pārbaudītu, vai bērnam ir noteikta invaliditāte un vai pilngadīgai personai, kura nav sasniegusi 24 gadu vecumu, ir noteikta I vai II invaliditātes grupa, fonds minēto informāciju un noteiktās invaliditātes beigu datumu tiešsaistes režīmā saņem no Invaliditātes informatīvās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uz bērnam noteikto invaliditātes termiņu vai uz pilngadīgai personai noteikto I vai II invaliditātes grupas invaliditātes termiņu, bet ne ilgāk kā līdz 24 gadu vecuma sasniegšanai, ja persona viena pati vai kopā ar laulāto aprūpē bērnu ar invaliditāti vai pilngadīgu personu, kura nav sasniegusi 24 gadu vecumu un kurai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personas aprūpē vienlaikus ir bērns ar invaliditāti  vai pilngadīga persona, kura nav sasniegusi 24 gadu vecumu un kurai ir noteikta I vai II invaliditātes grupa, un pilngadīga  persona, kura nav sasniegusi 24 gadu vecumu un kura iegūst vispārējo, profesionālo vai augstāko izglītību Latvijas Republikā vai ārvalstī,  fonds apliecību pilngadīgajai personai, kura  iegūst izglītību,  piešķir uz gadu vai šo noteikumu 23.4. apakšpunktā minēto termiņu, bet ne ilgāk kā līdz dienai, kad tiek sasniegts 24 gadu vecums."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Ja personas aprūpē vienlaikus ir bērns ar invaliditāti  vai pilngadīga persona, kura nav sasniegusi 24 gadu vecumu un kurai ir noteikta I vai II invaliditātes grupa, un bērns, kuram  nav noteikta invaliditāte, fonds apliecību šim bērnam piešķir uz šo noteikumu 23.4. apakšpunktā minēto termiņu, bet ne ilgāk kā līdz dienai, kad tiek sasniegts 18 gadu vecums."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35.5.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šo noteikumu 6.1.3. apakšpunktā minētajai pilngadīgajai personai, kura nav sasniegusi 24 gadu vecumu un kurai ir noteikta I vai II invaliditātes grupa, uzrādot studenta apliecību vai personu apliecinošu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Apliecību digitālā formātā fonds izsniedz no 2022. gada 1. decembra."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Šo noteikumu 6.1.2. un 10.8. apakšpunkts, 16. punkts, 23.3. un 35.4. apakšpunkts zaudē spēku 2021. gada 31.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22-TA-591</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22-TA-591</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noteikumu_(grozījumu)_projekts_22-TA-591.docx</dc:title>
</cp:coreProperties>
</file>

<file path=docProps/custom.xml><?xml version="1.0" encoding="utf-8"?>
<Properties xmlns="http://schemas.openxmlformats.org/officeDocument/2006/custom-properties" xmlns:vt="http://schemas.openxmlformats.org/officeDocument/2006/docPropsVTypes"/>
</file>