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Darba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br/>
      </w:r>
      <w:r w:rsidR="00000000" w:rsidRPr="00000000" w:rsidDel="00000000">
        <w:rPr>
          <w:rStyle w:val="paragraph"/>
          <w:rtl w:val="0"/>
        </w:rPr>
        <w:t xml:space="preserve">Izdarīt Darba likumā (Latvijas Republikas Saeimas un Ministru Kabineta Ziņotājs, 2001, 15. nr.; 2003, 2. nr.; 2004, 5., 10. nr.; 2005, 12., 22. nr.; 2006, 21. nr.; 2009, 14. nr.; Latvijas Vēstnesis, 2009, 200. nr.; 2010, 47. nr.; 2011, 62., 103. nr.; 2012, 108. nr.; 2014, 225. nr.; 2016, 101. nr.; 2017, 152. nr.; 2018, 225. nr.; 2019, 57., 78., 123., 224. nr.; 2020, 247.A nr.; 2021, 110. nr.; 2022, 128., 220. nr.; 2024, 196.nr.) šādus grozījumus:</w:t>
      </w:r>
      <w:r>
        <w:br/>
      </w:r>
      <w:r w:rsidR="00000000" w:rsidRPr="00000000" w:rsidDel="00000000">
        <w:rPr>
          <w:rStyle w:val="paragraph"/>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10.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Šī panta otrajā, trešajā un ceturtajā daļā minētajos gadījumos darbinieku pārstāvji lēmumus pieņem ar vienkāršu balsu vairākumu.”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 Papildināt 19.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viena gada laikā pēc darba koplīguma izbeigšanās nav noslēgts jauns darba koplīgums, tad puses var vienpusēji atkāpties no darba koplīguma noteikumu piemērošanas, ne vēlāk kā sešus mēnešus iepriekš rakstveidā par to paziņojot otrai pusei. Paziņojumā puse norāda, vai tā atkāpjas no visu vai daļas darba koplīguma noteikumu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68.panta trešo un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darba koplīgumu vai ģenerālvienošanos, kas paredz būtisku valsts noteiktās minimālās darba algas vai stundas algas likmes paaugstināšanu vismaz 50 procentu apmērā virs valsts noteiktās minimālās darba algas vai stundas algas likmes, piemaksas apmēru par virsstundu darbu var noteikt mazāku par šā panta pirmajā daļā noteikto, bet ne mazāku kā 50 procentu apmērā no darbiniekam noteiktās stundas algas likmes, turklāt, ja ir nolīgta akorda alga, — ne mazāku kā 50 procentu apmērā no noteiktā akorddarba izcenojuma par paveiktā darba daudzumu.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valsts nosaka minimālo darba algu vai stundas likmi tādā apmērā, ka spēkā esoša darba koplīguma vai ģenerālvienošanās ietvaros noteiktās minimālās darba algas vai stundas likmes apmērs vairs neatbilst šā panta trešajā daļā minētajam kritērijam, un ja šī darba koplīguma vai  ģenerālvienošanās ietvaros minētā piemaksa par virsstundām noteikta mazākā apmērā nekā šā panta pirmajā daļā noteiktais apmērs, tad attiecīgā darba koplīguma vai  ģenerālvienošanās ietvaros veic grozījumus tā, lai tiktu nodrošināta atbilstība šā panta trešajai daļai. Ja minētie grozījumi netiek veikti, darba koplīgums vai ģenerālvienošanās zaudē spēku daļā par virsstundu piemaksas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70.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samaksa aprēķināma un izmaksājama bezskaidrā naudā ar pārskaitījumu. Darba devējam ir tiesības izmaksāt darba samaksu skaidrā naudā tikai tad, ja darbinieks un darba devējs par to ir noteikti vienojušies.”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 Papildināt 74. pantu ar 2.</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un 2.</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Ja dīkstāve ilgst vairāk par piecām darba dienām pēc kārtas, tad darba devējam ir tiesības samazināt šā panta otrajā daļā noteikto atlīdzību līdz 70 procentiem. Jebkurā gadījumā darbiniekam saglabājamās atlīdzības apmērs nevar būt mazāks par minimālo mēneša darba algu proporcionāli darbiniekam nolīgtajam darba laikam. Darba devējam ir pienākums savlaicīgi informēt darbinieku par iespējamo atlīdzības samazinājumu dīkstāves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Darbiniekam, kurš nepiekrīt šā panta 2.</w:t>
      </w:r>
      <w:r w:rsidR="00000000" w:rsidRPr="00000000" w:rsidDel="00000000">
        <w:rPr>
          <w:vertAlign w:val="superscript"/>
          <w:rtl w:val="0"/>
        </w:rPr>
        <w:t xml:space="preserve">1</w:t>
      </w:r>
      <w:r w:rsidR="00000000" w:rsidRPr="00000000" w:rsidDel="00000000">
        <w:rPr>
          <w:rtl w:val="0"/>
        </w:rPr>
        <w:t xml:space="preserve"> daļā minētajam atlīdzības samazinājumam, ir tiesības uzteikt darba līgumu, neievērojot šā likuma 100. panta pirmajā daļā noteikto termiņu, ja dīkstāve ilgst vairāk par četrām nedēļām pēc kārtas. Šādā gadījumā darba devējam ir pienākums izmaksāt darbiniekam atlaišanas pabalstu ne mazāk kā 75 procentu apmērā no šā likuma 112. panta pirmajā daļā noteiktā apmēra. Darba koplīgumā var noteikt mazāku atlaišanas pabalsta apmēru kā šajā daļā noteikto, bet ne mazāku kā 50 procentu apmērā no šā likuma 112. panta pirmajā daļā noteiktā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3</w:t>
      </w:r>
      <w:r w:rsidR="00000000" w:rsidRPr="00000000" w:rsidDel="00000000">
        <w:rPr>
          <w:rtl w:val="0"/>
        </w:rPr>
        <w:t xml:space="preserve">) Darba devējam ir pienākums paziņot darbiniekam par dīkstāves iestāšanos, tās iemesliem, kā arī tiem noteikumiem, kas jāievēro dīkstāves laikā attiecībā uz darbinieka atrašanos darbavietā, veidu, kādā dīkstāve tiek izbeigta, kā arī laikposmu, kādā darbiniekam jāatsāk darba pienākumu izpilde, ja dīkstāves laikā darba devējs ir noteicis darbinieka tiesības neatrasties darbavietā. Darba devējam ir pienākums pierādīt, ka darbinieks ir informēts par darba devēja paziņošanas pienākuma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100. panta piektās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šādu iemeslu atzīstams katrs tāds apstāklis, kas, pamatojoties uz tikumības un taisnprātības apsvērumiem, neļauj turpināt darba tiesiskās attiecības, kā arī nolīgtās vai likumā noteiktās darba algas izmaksas kavējums ilgāk kā divas nedēļas pēc darba algas izmaksai noteiktā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     Papildināt 101. panta pirmās daļas 11. punktu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laikā neieskaita arī laiku, kad darbiniekam ir izsniegta darbnespējas lapa sakarā ar to, ka viņš kopj slimu bērnu, kurš nav sasniedzis 18 gadu vecumu un kuram ir smaga slimība, kuras dēļ nepieciešama ilgstoša ārstēšanās un valsts sabiedrības ar ierobežotu atbildību "Bērnu klīniskā universitātes slimnīca" ārstu konsilijs noteicis, ka nepieciešama vecāka nepārtraukta klātbūtne.”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107.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Izņēmuma gadījumos Nodarbinātības valsts aģentūra var saīsināt šā panta pirmajā daļā noteikto termiņu. Par termiņa saīsināšanu Nodarbinātības valsts aģentūra nekavējoties rakstveidā paziņo darba devējam un darbinieku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110.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aiz vārdiem un skaitļiem “101. panta pirmās daļas 4., 8.” ar skaitli “9.”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otro teikumu šādā redakcijā: “Ja darbinieku arodbiedrība nepiekrīt darba devēja uzteikumam, tā vienlaikus informē arī par atteikuma iemesliem.”;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otro teikumu par trešo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vārdiem “arodbiedrības piekrišana” ar vārdiem “neieskaitot darbinieka pārejošas darbnespējas laiku vai laiku, kad viņš ir bijis atvaļinājumā vai nav veicis darbu citu attaisnojošu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Izteikt 113.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darba līgumā, kas noslēgts uz noteiktu laiku, nav noteikts beigu termiņš, darba devējam ir pienākums rakstveidā paziņot darbiniekam par gaidāmo darba tiesisko attiecību izbeigšanos laikus, bet ne vēlāk kā trīs dienas  iepriekš.”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Aizstāt 131. panta otrajā daļā vārdus “vienu stundu” ar vārdiem “divām stundām”.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     Papildināt 133.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Darbinieks un darba devējs, noslēdzot darba līgumu vai spēkā esoša darba līguma darbības laikā, var vienoties par četru dienu darba nedēļu, ievērojot šā likuma 131. panta otrās daļas noteikumus. Ja darbinieks un darba devējs ir vienojušies par četru dienu darba nedēļu uz laiku, tam beidzoties, tiek atjaunots iepriekšējais darba režīms. Pēc darbinieka vai darba devēja pieprasījuma, ja tas izteikts ne mazāk kā divas nedēļas iepriekš, tiek atjaunots iepriekšējais darba režīms. Ja četru dienu darba nedēļa, ievērojot šā likuma 131. panta otrās daļas noteikumus, tika nolīgta noslēdzot darba līgumu, pēc darbinieka vai darba devēja pieprasījuma, ja tas izteikts ne mazāk kā divas nedēļas iepriekš, tiek noteikts šī panta pirmajā daļā noteiktais darba nedēļas 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134. pantu ar astoto, devīto un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darbinieks, kuram noteikts nepilns darba laiks, pamatojoties uz darbinieka un darba devēja vienošanos, kādā no nedēļas dienām vai nedēļām veic darbu, kas pārsniedz dienas vai nedēļas normālo darba laiku, tad šis laiks netiek uzskatīts par virsstundu darbu, ja darbinieka kopējais nostrādātais laiks mēneša ietvaros nepārsniedz mēneša normālo darba laiku. Nesamazinot darbinieku kopējo aizsardzības līmeni, darba koplīgumā, kas noslēgts ar darbinieku arodbiedrību, puses var vienoties par ilgāku darba laika uzskaites periodu, taču tas nevar pārsniegt trīs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Darba devējam ir pienākums iepazīstināt darbiniekus ar darba grafiku ne vēlāk kā divas nedēļas pirms tā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pēdējo sešu mēnešu laikā darbinieka vidējais nostrādāto stundu skaits mēnesī sasniedz normālo darba laiku, tad pēc darbinieka pieprasījuma uzskatāms, ka viņam ir noteikts normālais darba laiks.”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Izteikt 140. panta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ir noteikts summētais darba laiks, darba devējs nodrošina, ka pārskata periodā diennakts atpūtas laiks nav īsāks par vidēji 12 stundām diennaktī un nedēļas atpūtas laiks nav īsāks par vidēji 36 stundām nedēļā, ieskaitot diennakts atpūtas laiku dienā pirms nedēļas atpūtas laika 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143.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Nedēļas atpūtas ilgums septiņu dienu periodā nedrīkst būt īsāks par 42 stundām pēc kārtas, ieskaitot diennakts atpūtas laiku dienā pirms nedēļas atpūtas laika sākuma. Šo noteikumu var nepiemērot, ja noteikts summētais darba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darba devējs vienu darba dienu, kas iekrīt starp svētku dienu un nedēļas atpūtas laiku, nosaka par brīvdienu un pārceļ to uz sestdienu tajā pašā nedēļā vai citā nedēļā tā paša mēneša ietvaros, nedēļas atpūtas laika ilgums nedrīkst būt īsāks par 36 stundām pēc kārtas, ieskaitot diennakts atpūtas laiku dienā pirms nedēļas atpūtas laika 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Aizstāt 155. panta piektajā daļā vārdu “kalendāra” ar vārdu “darba”.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Papildināt pārejas noteikums ar 28. un 29.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darba koplīgums ir noslēgts un izbeidzies līdz šā likuma spēkā stāšanās dienai, bet tā noteikumi atbilstoši šā likuma 19. panta trešajai daļai ir spēkā, tad pusēm ir tiesības vienpusēji atkāpties no darba koplīguma noteikumu piemērošanas, ne vēlāk kā sešus mēnešus iepriekš rakstveidā par to paziņojot otrai pusei, divus gadus pēc likuma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līdz šā likuma spēkā stāšanās dienai darba devējs veica darba samaksas izmaksu skaidrā naudā, tad sešu mēnešu laikā, skaitot no likuma spēkā stāšanās dienas, darba devējs nodrošina pāreju uz darba samaksas izmaksu bezskaidrā naudā ar pārskatījumu vai vienojas ar darbinieku par darba samaksas izmaksas skaidrā naudā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Informatīvajā atsaucē uz Eiropas Savienības direktīvām: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4. un 24.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atsauci 34.punktu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Eiropas Parlamenta un Padomes 2022.gada 19.oktobra direktīva par adekvātām minimālajām algām Eiropas Savienībā.”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24-TA-3042</w:t>
    </w:r>
    <w:r>
      <w:br/>
    </w:r>
    <w:r w:rsidR="00000000" w:rsidRPr="00000000" w:rsidDel="00000000">
      <w:rPr>
        <w:rtl w:val="0"/>
      </w:rPr>
      <w:t xml:space="preserve">Izdrukāts 29.07.2026. 23.12 - 1.0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24-TA-3042</w:t>
    </w:r>
    <w:r>
      <w:br/>
    </w:r>
    <w:r w:rsidR="00000000" w:rsidRPr="00000000" w:rsidDel="00000000">
      <w:rPr>
        <w:rtl w:val="0"/>
      </w:rPr>
      <w:t xml:space="preserve">Izdrukāts 29.07.2026. 23.12 - 1.0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likumprojekts_(grozījumi)_24-TA-3042.docx</dc:title>
</cp:coreProperties>
</file>

<file path=docProps/custom.xml><?xml version="1.0" encoding="utf-8"?>
<Properties xmlns="http://schemas.openxmlformats.org/officeDocument/2006/custom-properties" xmlns:vt="http://schemas.openxmlformats.org/officeDocument/2006/docPropsVTypes"/>
</file>