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(turpmāk – pasākums) projektu iesniegumu atlases otro kārtu (turpmāk – atlases otrā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otrās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atlases otrajai kārtai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otrās kārtas mērķis ir nomainīt vai pielāgot ar kūdru kurināmas siltumenerģijas ražošanas iekārtas, veicinot pāreju uz atjaunīgajiem energoresursiem un bezemisiju tehnoloģijām (vai to kombinācijām), pārtraucot kūdras kā kurināmā resursa izmantošanu sabiedrisko siltumapgādes pakalpojumu sniegšanai un kopējai siltumapgādes infrastruktūras efektivitātes uzlabošanai.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atlases otrās kārtas mērķa grupa ir Latvijas Republikas Līvānu novada un Preiļu novada pašvaldības, kurās sabiedrisko siltumapgādes pakalpojumu sniegšanai kā kurināmo izmanto kūdru, un šo pašvaldību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atlases otro kārtu īsteno līdz 2028. gada 31. decembrim, sasniedzot šādus nacionālos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kopējais sasniedzamais oglekļa dioksīda emisiju samazinājums. Nacionālā rādītāja vērtība tiek sasniegta, ja veikti ieguldījumi, kas nodrošina oglekļa dioksīda emisiju samazinājumu atbilstoši īstenojamo projektu iesniegumos norādītajiem sasniedzamajiem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kopējais sasniedzamais enerģijas galapatēriņa ietaupījums. Nacionālā rādītāja vērtība tiek sasniegta, ja veikti ieguldījumi, kas nodrošina enerģijas galapatēriņa ietaupījumu atbilstoši īstenojamo projektu iesniegumos norādītajiem sasniedzamajiem rezultātiem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atlases otro kārtu īsteno ierobežotas projektu iesniegumu atlases veidā, katrai pašvaldībai iesniedzot vienu projekta iesniegumu.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atlases otrās kārtas īstenošanai plānotais un pieejamais kopējais attiecināmais finansējums ir vismaz 1 176 471 </w:t>
      </w:r>
      <w:r w:rsidR="00000000" w:rsidRPr="00000000" w:rsidDel="00000000">
        <w:rPr>
          <w:i w:val="1"/>
          <w:rtl w:val="0"/>
        </w:rPr>
        <w:t xml:space="preserve">euro</w:t>
      </w:r>
      <w:r w:rsidR="00000000" w:rsidRPr="00000000" w:rsidDel="00000000">
        <w:rPr>
          <w:rtl w:val="0"/>
        </w:rPr>
        <w:t xml:space="preserve">, tai skaitā Taisnīgas pārkārtošanās fonda finansējums – 1 000 000 </w:t>
      </w:r>
      <w:r w:rsidR="00000000" w:rsidRPr="00000000" w:rsidDel="00000000">
        <w:rPr>
          <w:i w:val="1"/>
          <w:rtl w:val="0"/>
        </w:rPr>
        <w:t xml:space="preserve">euro</w:t>
      </w:r>
      <w:r w:rsidR="00000000" w:rsidRPr="00000000" w:rsidDel="00000000">
        <w:rPr>
          <w:rtl w:val="0"/>
        </w:rPr>
        <w:t xml:space="preserve"> un nacionālais līdzfinansējums, ko veido pašvaldības budžeta līdzfinansējums un, ja attiecināms, pašvaldības līdzfinansējums, kas ir brīvs no komercdarbības atbalsta, – vismaz 176 471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atlases otrās kārtas ietvaros pieejamais Taisnīgas pārkārtošanās fonda finansējums netiek izmantots, atlikušo Taisnīgas pārkārtošanās fonda finansējumu, sadarbības iestādei vienojoties ar atbildīgo iestādi par atlases nosacījumiem, novirza nākamo pasākuma atlases kārtu organizēšanai.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Maksimālā Taisnīgas pārkārtošanās fonda finansējuma intensitāte nepārsniedz 85 procentus no projektam plānotā kopējā attiecināmā finansējuma, un nacionālais līdzfinansējums ir vismaz 15 procenti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Komercdarbības atbalstu siltumapgādes sabiedriskajiem pakalpojumiem sniedz kā kompensāciju par sabiedriskajiem pakalpojumiem dažiem uzņēmumiem, kuriem uzticēts sniegt pakalpojumus ar vispārēju tautsaimniecisku nozīmi, un </w:t>
      </w:r>
      <w:r w:rsidR="00000000" w:rsidRPr="00000000" w:rsidDel="00000000">
        <w:rPr>
          <w:i w:val="1"/>
          <w:rtl w:val="0"/>
        </w:rPr>
        <w:t xml:space="preserve">de minimis</w:t>
      </w:r>
      <w:r w:rsidR="00000000" w:rsidRPr="00000000" w:rsidDel="00000000">
        <w:rPr>
          <w:rtl w:val="0"/>
        </w:rPr>
        <w:t xml:space="preserve"> atbalstu sniedz saskaņā ar Komisijas 2023. gada 13. decembra Regulu (ES)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(turpmāk – regula Nr. 2023/2831).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kas pēc projekta iesnieguma apstiprināšanas ir arī finansējuma saņēmējs, atlases otrās kārtas ietvaros ir pašvaldība, kura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 administratīvajā teritorijā siltumapgādes vajadzībām izmanto kūdru un kura minēta pasākuma pirmās atlases kārtas atbildīgajai iestādei iesniegtajā nodevumā par pašvaldībām un to uzņēmumu īpašumā esošo kūdras sadedzināšanas iekārtu inventarizācijas rezultātiem un to sociālekonomisko novērtējumu.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iestāde izsludina pasākuma atlases otro kārtu, nosūtot uzaicinājumu iesniegt projektu iesniegumus tiem projektu iesniedzējiem, par kuriem atbildīgā iestāde ir sniegusi informāciju sadarbības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projektā paredzēts iekļaut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minētās attiecināmās izmaksas, projekta iesniedzējs norāda, vai pašvaldības īpašumā esošā ēka tiek izmantota: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pašvaldības autonomo funkciju un pārvaldes uzdevumu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daļu iznomājot trešajām personām saimnieciskās darbības veikšanai.  Attiecīgi  norāda kalendāra gadā iznomātās platības īpatsvaru pret ēkas kopējo platību, kurā paredzēts īstenot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paredzētās atbalstāmās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saimnieciskajai darbībai un aktivitātēm, atbalsts kurām nav kvalificējams kā komercdarbības atbalsts. Attiecīgi norāda saimnieciskajai darbībai izmantotā laika īpatsvaru pret ēkas kopējo darba laiku kalendāra gadā.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projekta iesniegumu un iesniedz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atlases otrās kārtas ietvaros ir atbalstāmas šādas darbības pārejai no kūdras kurināmā izmantošanas siltumenerģijas ražošanā uz atjaunīgo energoresursu risinājumiem: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tādu siltumenerģijas ražošanas iekārtu, kurās kā kurināmais tiek izmantota kūdra, nomaiņa pret iekārtām, kurās kā kurināmais tiks izmantoti tikai atjaunīgie energoresursi, vai pret bezemisiju tehnoloģijām (vai to kombinācijām), un, ja attiecināms, ar iekārtu nomaiņu saistītā jaudas palielināšana vai samazināšana. Iekārtas un kūdras patēriņš identificēts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 nodevumā;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siltumenerģijas ražošanas iekārtu, kurās kā kurināmais tiek izmantota kūdra, pielāgošana (tai skaitā pārbūve) tikai atjaunīgo energoresursu vai bezemisiju tehnoloģiju izmantošanai (vai to kombinācijai), un, ja attiecināms, ar iekārtu pielāgošan</w:t>
      </w:r>
      <w:r w:rsidR="00000000" w:rsidRPr="00000000" w:rsidDel="00000000">
        <w:rPr>
          <w:rtl w:val="0"/>
        </w:rPr>
        <w:t xml:space="preserve">u saistītā jaudas palielināšana vai samazināšana. Iekārtas un kūdras patēriņš identificēts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 minētajā nodevumā;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siltumapgādes iekšējās infrastruktūras pielāgošana (tai skaitā pārbūve) no atjaunīgajiem energoresursiem ražotās siltumenerģijas efektīvai izmantošanai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siltumenerģijas pārvades un sadales sistēmas atjaunošana, tai skaitā pārbūve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horizontālā principa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darbībām tieši saistītie komunikācijas un vizuālās identitātes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noteiktā mērķa sasniegšanu, kā arī ieguldījumus neveic objektos, kur kūdra kā energoresurss izmantota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nodevuma tvēruma vienā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atlases otrās kārtas ietvaros plāno tiešās attiecināmās izmaksas, kas ietver šādas izmaksu pozīcijas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mehānismu un tehnoloģisko risinājumu vai to kombināciju iegādes, uzstādīšanas vai pielāgošanas izmaksas, lai nodrošinātu pāreju no kūdras izmantošanas uz atjaunīgo energoresursu vai uz bezemisiju tehnoloģiju izmantošanu;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esošo tehnoloģisko iekārtu un to pamatnes demontāžas izmaksas vai esošās infrastruktūras, tai skaitā ēku un būvju, demontāžas, atjaunošanas vai pārbūves izmaksas, ja tās tiešā veidā saistītas ar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minēto iekārtu uzstādīšanu;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iekšējās siltumapgādes sistēmas vai atsevišķu tās elementu pārbūves vai modernizācijas izmaksas, tai skaitā ēkas esošās iekšējās siltumapgādes sistēmas vai tās daļas demontāžas, tehnoloģiskā aprīkojuma iegādes, uzstādīšanas un sistēmas sagatavošanas darbībai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siltuma pārvades un sadales infrastruktūras, tostarp siltumtīklu un siltummezglu, kā arī saistīto elementu pārbūves vai modernizācijas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nepieciešamo tehnoloģisko risinājumu būvprojekta (tai skaitā ar būvniecības ieceri un ar būvprojektu minimālā sastāvā saistīto sagatavošanas darbu) sagatavošanas izmaksas, kā arī būvprojekta ekspertīzes, autoruzraudzības un būvuzraudzības (tai skaitā inženiertehniskās uzraudzības) izmaksas, ja ekspertīzes vai uzraudzības veikšanu nosaka normatīvie akti. Projektēšanas, autoruzraudzības un būvuzraudzības (tai skaitā inženiertehniskās uzraudzības) izmaksas ir attiecināmas, nepārsniedzot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neparedzētie izdevumi ne vairāk kā piecu procentu apmērā no projekta kopējām tiešajām attiecināmajām izmaksām. Neparedzēto izdevumu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rezerves izmaksas ne vairāk kā desmit procentu apmērā no attiecināmo būvniecības izmaksu kopsummas, ja projektā paredzētas būvniecības darbības un attiecināmajās izmaksās nav iekļauti šo noteikumu </w:t>
      </w:r>
      <w:r w:rsidR="00000000" w:rsidRPr="00000000" w:rsidDel="00000000">
        <w:rPr>
          <w:rtl w:val="0"/>
        </w:rPr>
        <w:t xml:space="preserve">19.8. </w:t>
      </w:r>
      <w:r w:rsidR="00000000" w:rsidRPr="00000000" w:rsidDel="00000000">
        <w:rPr>
          <w:rtl w:val="0"/>
        </w:rPr>
        <w:t xml:space="preserve">apakšpunktā</w:t>
      </w:r>
      <w:r w:rsidR="00000000" w:rsidRPr="00000000" w:rsidDel="00000000">
        <w:rPr>
          <w:rtl w:val="0"/>
        </w:rPr>
        <w:t xml:space="preserve"> minētie neparedzētie izdevumi. Rezerves izmaksu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atlases otrās kārtas ietvaros projekta izmaksas ir attiecināmas, ja tās: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tieši saistītas ar projekta ietvaros veiktajām darbībām, ir samērīgas, pamatotas un atbilst normatīvo aktu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par aktīviem, kas ir jauni un iegādāti no trešajām personām par tirgus vērtību un kurus izmanto finansējuma saņēmēja vajadzībām un sabiedriskā siltumapgādes pakalpojuma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radušās no dienas, kad projekta iesniegums iesniegts sadarbības iestādē – projekta iesniegumā neiekļauj un finansējumu nepiešķir pabeigtām darbībām, izņemot šo noteikumu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minētās izmaksas, kas attiecināmas, ja tās veiktas pēc 2025. gada 1. janvāra;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finansējuma saņēmēja līdzekļiem. Ārpus projekta nedrīkst paredzēt izmaksas, kas tiešā veidā nodrošina projekta mērķa sasniegšanu, izņemot šo noteikumu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un uzraudzības nosacījumi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bet ne ilgāk kā līdz 2028.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ietvaros, veicot iepirkumus, nodrošina vides prasību integrāciju preču, pakalpojumu un būvdarbu iepirkumos (zaļais publiskais iepirkums), ja attiecināms.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prasības saskaņā ar Eiropas Parlamenta un Padomes 2021. gada 24. jūnija Regulas (ES)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sadārdzinājumu sedz no saviem līdzekļiem, nodrošinot piemērojamo komercdarbības atbalsta regulējuma normu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neiestāšanos, tostarp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finansējuma saņēmēja īpašumā vai valdījumā projekta dzīves ciklā, kas iekļauj projekta īstenošanas laiku un pēcuzraudzības periodu un ir vismaz 15 gadi, un šīs īpašuma vai valdījuma tiesības ir nostiprinātas zemesgrāmatā (ja attiecināms), tādējādi nodrošinot tam tiesības piekļūt zemesgabaliem, kur paredzēts īstenot projektu un veikt tajos infrastruktūras uzturēšanas darbus;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dzīves ciklā, kas iekļauj projekta īstenošanas laiku un pēcuzraudzības periodu un ir vismaz 15 gadi, nodrošina projekta rezultātu ilgtspēju, tai skaitā infrastruktūras ekspluatāciju, uzturēšanu un apsaimniekošanu, kā arī to, ka siltumenerģijas ražošanā netiek izmantota kūdra;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novērš interešu konflikta risku saskaņā ar Eiropas Parlamenta un Padomes 2024. gada 23. septembra Regulas (ES, Euratom) 2024/2509 par finanšu noteikumiem, ko piemēro Savienības vispārējam budžetam, 61. panta prasībām un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projekta ietvaros plānota pāreja uz koksnes biomasas kā atjaunīgā energoresursa izmantošanu, nodrošina, ka projekta dzīves ciklā, kas iekļauj projekta īstenošanas laiku un pēcuzraudzības periodu un ir vismaz 15 gadi, tiks izmantots ilgtspējīgs biomasas kurināmais (šķelda, kokskaidu briketes, kokskaidu granulas).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izvērtē plānotā avansa apmēru un tā pamatojumu un, ja iespējams, var piešķirt finansējuma saņēmējam avansu pēc vienošanās par projekta īstenošanu noslēgšanas. Finansējuma saņēmējs avansa pieprasījumu sagatavo un sadarbības iestāde apstiprina, ņemot vērā, ka plānotā avansa apmērs atbilst spējai to izlietot sešu mēnešu laikā saimnieciskā gada ietvaros. Finansējuma saņēmējam avansu var piešķirt līdz 50 procentiem no projektam piešķirtā Taisnīgas pārkārtošanās fonda finansējuma, ievērojot, ka avansu var izmaksāt vairākos maksājumos un avansa un starpposma maksājumu kopsumma nepārsniedz 90 procentus no projektam piešķirtā Taisnīgas pārkārtošanās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 pašvaldība, kas ir sabiedrisko siltumapgādes pakalpojumu sniedzējs, – ir pieņēmis lēmumu par siltumapgādes sabiedrisko pakalpojumu sniegšanu. Lēmumā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konkrētos sniedzamos siltumapgādes sabiedriskos pakalpojumus;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siltumapgādes sabiedrisko pakalpojumu sniegšanas teritoriju;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siltumapgādes sabiedriskajiem pakalpojumiem, tai skaitā nepieciešamo infrastruktūru;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siltumapgādes sabiedrisko pakalpojumu sniegšanas laiku, kas nav īsāks par pieciem gadiem un nepārsniedz 10 gadus;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 pašvaldība, kas ir sabiedrisko siltumapgādes pakalpojumu sniedzējs, – nevar būt tāds saimnieciskās darbības veicējs, attiecībā uz kuru uzņēmumu grupas līmenī konstatējama vismaz viena no Komisijas 2014. gada 17. jūnija Regulas Nr. 651/2014, ar ko noteiktas atbalsta kategorijas atzīst par saderīgām ar iekšējo tirgu, piemērojot Līguma 107. un 108. pantu, 2. panta 18. punktā paredzētajām pazīmēm. Grūtībās nonākuša uzņēmuma pazīmes vērtē projekta iesniedzējam individuāli un tā saistīto personu grupai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minētos nosacījumus pārbauda uz projekta iesnieguma iesniegšanas brīdi sadarbības iestādē un uz komercdarbības atbalsta piešķiršanas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iesniedzējs – pašvaldība, kas ir sabiedrisko siltumapgādes pakalpojumu sniedzējs, –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Savienības līmenī noteikto pārbaužu regularitāti, bet ne retāk kā reizi trijos gados un pilnvarojuma akta (pakalpojuma līguma) darbības perioda beigās, vai arī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Atlīdzības maksājuma (kompensācijas) saņēmējs un vispārējas tautsaimnieciskas nozīmes pakalpojuma pilnvarojuma uzlicējs nodrošina, ka pilnvarojuma periodā un vismaz 10 gadus pēc pilnvarojuma perioda beigām tiek saglabāta un nodrošināta pieejamība projekta izmaksas pamatojošiem dokumentiem, visai ar projektu saistītajai dokumentācijai un visai nepieciešamajai informācijai, lai noteiktu, vai piešķirtais atbalsts ir atbilstošs komercdarbības atbalsta piešķiršanas nosacījumiem vispārējas tautsaimnieciskas nozīmes pakalpojumu 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tiek pārkāptas šajos noteikumos minētās komercdarbības atbalsta piešķiršanas prasības vispārējas tautsaimnieciskas nozīmes pakalpojuma sniegšanai, finansējuma saņēmējam ir pienākums atmaksāt sadarbības iestādei projekta ietvaros saņemto nelikumīgo komercdarbības atbalstu. Atmaksu veic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projekta iesniedzējam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minētajos saimnieciskās darbības īstenošanas gadījumos piešķir saskaņā ar regulu Nr. 2023/2831,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w:t>
      </w:r>
      <w:r w:rsidR="00000000" w:rsidRPr="00000000" w:rsidDel="00000000">
        <w:rPr>
          <w:i w:val="1"/>
          <w:rtl w:val="0"/>
        </w:rPr>
        <w:t xml:space="preserve"> de minimis</w:t>
      </w:r>
      <w:r w:rsidR="00000000" w:rsidRPr="00000000" w:rsidDel="00000000">
        <w:rPr>
          <w:rtl w:val="0"/>
        </w:rPr>
        <w:t xml:space="preserve"> atbalstu viena vienota uzņēmuma līmenī nepārsniedz regulas Nr. 2023/2831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2023/2831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nozarēs, kas neietilpst regulas Nr. 2023/2831 darbības jomā, tas nodrošina šo nozaru darbību vai izmaksu nodalīšanu saskaņā ar regulas Nr. 2023/2831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gadījumā projekta iesniegumam pievieno </w:t>
      </w:r>
      <w:r w:rsidR="00000000" w:rsidRPr="00000000" w:rsidDel="00000000">
        <w:rPr>
          <w:i w:val="1"/>
          <w:rtl w:val="0"/>
        </w:rPr>
        <w:t xml:space="preserve">de minimis</w:t>
      </w:r>
      <w:r w:rsidR="00000000" w:rsidRPr="00000000" w:rsidDel="00000000">
        <w:rPr>
          <w:rtl w:val="0"/>
        </w:rPr>
        <w:t xml:space="preserve"> 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Lēmumu par atbalsta piešķiršanu saskaņā ar regulu Nr. 2023/2831 var pieņemt līdz šīs regulas darbības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Dokumentāciju par </w:t>
      </w:r>
      <w:r w:rsidR="00000000" w:rsidRPr="00000000" w:rsidDel="00000000">
        <w:rPr>
          <w:i w:val="1"/>
          <w:rtl w:val="0"/>
        </w:rPr>
        <w:t xml:space="preserve">de minimis </w:t>
      </w:r>
      <w:r w:rsidR="00000000" w:rsidRPr="00000000" w:rsidDel="00000000">
        <w:rPr>
          <w:rtl w:val="0"/>
        </w:rPr>
        <w:t xml:space="preserve">atbalsta piešķiršanu sadarbības iestāde glabā 10 gadus no pēdējā programmas ietvaros piešķirtā atbalsta, bet finansējuma saņēmējs – 10 gadus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tiek pārkāptas regulas Nr. 2023/2831 prasības, finansējuma saņēmējam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Atmaksu veic kopā ar procentiem no līdzekļiem, kas ir brīvi no komercdarbības atbalsta, saskaņā ar </w:t>
      </w:r>
      <w:r w:rsidR="00000000" w:rsidRPr="00000000" w:rsidDel="00000000">
        <w:rPr>
          <w:rtl w:val="0"/>
        </w:rPr>
        <w:t xml:space="preserve">Komercdarbības</w:t>
      </w:r>
      <w:r w:rsidR="00000000" w:rsidRPr="00000000" w:rsidDel="00000000">
        <w:rPr>
          <w:rtl w:val="0"/>
        </w:rPr>
        <w:t xml:space="preserve"> atbalsta kontroles likuma</w:t>
      </w:r>
      <w:r w:rsidR="00000000" w:rsidRPr="00000000" w:rsidDel="00000000">
        <w:rPr>
          <w:rtl w:val="0"/>
        </w:rPr>
        <w:t xml:space="preserve">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Piešķirtais komercdarbības atbalsts, tajā skaitā </w:t>
      </w:r>
      <w:r w:rsidR="00000000" w:rsidRPr="00000000" w:rsidDel="00000000">
        <w:rPr>
          <w:i w:val="1"/>
          <w:rtl w:val="0"/>
        </w:rPr>
        <w:t xml:space="preserve">de minimis</w:t>
      </w:r>
      <w:r w:rsidR="00000000" w:rsidRPr="00000000" w:rsidDel="00000000">
        <w:rPr>
          <w:rtl w:val="0"/>
        </w:rPr>
        <w:t xml:space="preserve"> atbalsts,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ja vien atbalsts attiecas uz dažādām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Komercdarbības atbalsta piešķiršanas brīdis ir diena, kad pieņemts sadarbības iestādes lēmums par projekta iesnieguma apstiprināšanu vai izdots atzinums par lēmumā noteikto nosacījumu izpildi, ja iepriekš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papildu komercdarbības atbalsts siltumapgādes sabiedrisko pakalpojumu sniedzējam un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vienošanās par projekta īstenošanu grozījumi.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17.4. </w:t>
      </w:r>
      <w:r w:rsidR="00000000" w:rsidRPr="00000000" w:rsidDel="00000000">
        <w:rPr>
          <w:rtl w:val="0"/>
        </w:rPr>
        <w:t xml:space="preserve">apakšpunktu</w:t>
      </w:r>
      <w:r w:rsidR="00000000" w:rsidRPr="00000000" w:rsidDel="00000000">
        <w:rPr>
          <w:rtl w:val="0"/>
        </w:rPr>
        <w:t xml:space="preserve"> piemēro no dienas, kad Eiropas Komisijā ir apstiprināti Eiropas Savienības kohēzijas politikas programmas 2021.–2027. gadam grozījumi, kas 6. politikas mērķa "Taisnīgas pārkārtošanās fonda investīcijas" ietvaros paredz ieguldījumus siltumenerģijas apgādes pielāgošanai alternatīviem atjaunīgo energoresursu kurināmajiem, veicinot siltumnīcefekta gāzu emisiju samazinājumu.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25-TA-134</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25-TA-134</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noteikumu_projekts_25-TA-134.docx</dc:title>
</cp:coreProperties>
</file>

<file path=docProps/custom.xml><?xml version="1.0" encoding="utf-8"?>
<Properties xmlns="http://schemas.openxmlformats.org/officeDocument/2006/custom-properties" xmlns:vt="http://schemas.openxmlformats.org/officeDocument/2006/docPropsVTypes"/>
</file>