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27.jūlija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Robežšķērsošanas vietas, kurās veic robežpārbaudi un radiometrisko kontroli, un to veikšanas laiks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20.03.2012. noteikumiem Nr. 205; MK 20.11.2012. noteikumiem Nr. 784; MK 07.10.2014. noteikumiem Nr. 607; MK 31.05.2016. noteikumiem Nr. 330; MK 21.02.2017. noteikumiem Nr. 91; MK 29.10.2019. noteikumiem Nr. 498)</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2910"/>
        <w:gridCol w:w="5401"/>
        <w:tblGridChange w:id="0">
          <w:tblGrid>
            <w:gridCol w:w="1089"/>
            <w:gridCol w:w="2910"/>
            <w:gridCol w:w="54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Robežšķērsošanas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Robežpārbaudes un radiometriskās kontroles veikšanas laiks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07.10.2014. noteikumiem Nr. 607)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07.10.2014. noteikumiem Nr. 607)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(lidlauks)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Grebņeva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Kaplava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Kārsava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Mērsrags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Meikšāni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Pāternieki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Pāvilosta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Pededze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1, 5, 6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07.10.2014. noteikumiem Nr. 607)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Piedruja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Salacgrīva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Skulte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Terehova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Tukums (lidlauks)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Vientuļi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Vorzova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1, 2, 5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Zilupe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Lielvārde (militārais lidlauks)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Saskaņā ar normatīvajiem aktiem par nodokļu atvieglojuma piemērošanu atļauts šķērsot valsts robežu ar personīgajā bagāžā esošajām mantām un precēm, kā arī transportlīdzekļos un īpašos konteineros esošo degvielu un smērvielām, kam ir piemērojams atbrīvojums no muitas nodokļa samaksas.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 laiku slēgta no kaimiņvalsts 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Pēc informācijas saņemšanas no lidostas administrācijas, lidlauka īpašnieka vai ekspluatanta un robežpārbaudes laika saskaņošanas.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Pēc informācijas saņemšanas no kuģošanas komercsabiedrības, kuģa īpašnieka, kapteiņa, to pilnvarota kuģa aģenta vai, ja tas ir atpūtas kuģis, no jahtkluba, kurā attiecīgais kuģis piestāj, un robežpārbaudes laika saskaņošanas.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Saskaņā ar veterinārmedicīnas jomu reglamentējošo normatīvo aktu prasībām mājas (istabas) dzīvnieku nekomerciāla ievešana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Robežšķērsošanas vieta atvērta tikai Latvijas Republikas un Krievijas Federācijas iedzīvotājiem.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25-TA-1112</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25-TA-1112</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noteikumu_konsolidētā_versija_p1_25-TA-1112.docx</dc:title>
</cp:coreProperties>
</file>

<file path=docProps/custom.xml><?xml version="1.0" encoding="utf-8"?>
<Properties xmlns="http://schemas.openxmlformats.org/officeDocument/2006/custom-properties" xmlns:vt="http://schemas.openxmlformats.org/officeDocument/2006/docPropsVTypes"/>
</file>