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 (Latvijas Vēstnesis, 2024,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sadarbības iestādei ir pieejami valsts budžeta līdzekļi, tā, pamatojoties uz finansējuma saņēmēja rakstisku avansa pieprasījumu un izvērtējot plānotā avansa apmēru un tā pamatojumu, pēc vienošanās vai līguma par projekta īstenošanu noslēgšanas var piešķirt avansu finansējuma saņēmējam, kas nav valsts pārvaldes iestāde. Finansējuma saņēmējs – pašvaldība –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ja tas paredzēts projektā, ievērojot, ka avansu var izmaksāt vairākos maksājumos un avansa un starpposma maksājumu kopsumma atvasinātai publiskai personai, pašvaldībai, pašvaldības iestādei, valsts un pašvaldības kapitālsabiedrībai vai citai privāto tiesību juridiskai personai nepārsniedz 90 procentus, bet biedrībai un nodibinājumam – 95 procentus no projektam piešķirtā Eiropas Reģionālās attīstības fonda un valsts budžeta finansējuma kopsummas."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biedrība, nodibinājums un cita privāto tiesību juridiska persona, valsts iestāde, atvasināta publiska persona, valsts kapitālsabiedrība vai pašvaldības kapitālsabiedrība, kuras pamatdarbība ir kultūras vai radošajā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pašvaldība, kas projekta īstenošanai piesaista sadarbības partneri, kura pamatdarbība ir kultūras vai radošajā nozarē, ja pašvaldība nav izveidojusi iestādi, kas darbojas kultūras vai radošajā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21.3.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Projekta iesniedzējs specifiskā atbalsta ietvaros projekta īstenošanai var piesaistīt sadarbības partneri: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biedrību, nodibinājumu vai citu privāto tiesību juridisku personu, valsts iestādi, atvasinātu publisku personu, valsts kapitālsabiedrību vai pašvaldības kapitālsabiedrību, kuras pamatdarbība ir kultūras vai radošajā nozarē;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valsts iestādi, atvasinātu publisku personu, valsts kapitālsabiedrību vai pašvaldības kapitālsabiedrību, kuras īpašumā, turējumā, lietošanā vai valdījumā atrodas objekts, kurā plānotas investīcijas."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Īpašuma, turējuma, lietošanas vai valdījuma tiesības attiecībā uz atbalstītajiem objektiem nemaina un ieguldījums paliek Latvijas Republikas teritorijā vismaz piecus gadus pēc noslēguma maksājuma veikšanas finansējuma saņēmējam. Īpašuma, turējuma, lietošanas vai valdījuma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Ja īpašuma, turējuma, lietošanas vai valdījuma tiesības nav nostiprinātas zemesgrāmatā līdz projekta iesnieguma iesniegšanas dienai, tās nostiprina zemesgrāmatā līdz projekta noslēguma maksājuma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ievēro horizontālo principu "Vienlīdzība, iekļaušana, nediskriminācija un pamattiesību ievērošana" un uzkrāj datus par horizontālā principa rādītāju "Objektu skaits, kuros ir nodrošināta vides un informācijas piekļūstamība" un citiem rādītājiem (ja attiecināms);".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25-TA-599</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25-TA-599</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noteikumu_(grozījumu)_projekts_25-TA-599.docx</dc:title>
</cp:coreProperties>
</file>

<file path=docProps/custom.xml><?xml version="1.0" encoding="utf-8"?>
<Properties xmlns="http://schemas.openxmlformats.org/officeDocument/2006/custom-properties" xmlns:vt="http://schemas.openxmlformats.org/officeDocument/2006/docPropsVTypes"/>
</file>