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pasākumā "Ieguldījumi materiālajos aktīvos", ja kooperatīvās sabiedrības (arī jaunās kooperatīvās sabiedrības un kooperatīvo sabiedrību apvienības) pretendē uz atbalstu šo noteikumu 1. punktā minētajos apakšpasākumos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preču un pakalpojumu apgrozījuma ar biedriem pret piešķirto publisko finansējumu LAP 2014–2020 apakšpasākumos "Atbalsts ieguldījumiem lauku saimniecībās" un "Atbalsts ieguldījumiem pārstrādē" un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Apgrozījums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starp kooperatīvo sabiedrību un tās biedriem procentos no kooperatīvās sabiedrības lauksaimniecības preču un pakalpojumu kopējā apgrozījuma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par katru pilnu procentu, kas pārsniedz 75 % no kopējā apgrozījuma apmēra, piešķir 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iekļauts bioloģiskās lauksaimniecības kontroles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 sertificēta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Kooperatīvās sabiedrības apgrozījums starp sabiedrību un sabiedrības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nepārsniedz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saņēmējs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25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preču un pakalpojumu apgrozījuma ar biedriem pēdējos divos noslēgtajos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 LAP 2014–2020 apakšpasākumā "Atbalsts ieguldījumiem lauku saimniecībās" un "Atbalsts ieguldījumiem pārstrādē".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noteikumu_konsolidētā_versija_p7_22-TA-1709.docx</dc:title>
</cp:coreProperties>
</file>

<file path=docProps/custom.xml><?xml version="1.0" encoding="utf-8"?>
<Properties xmlns="http://schemas.openxmlformats.org/officeDocument/2006/custom-properties" xmlns:vt="http://schemas.openxmlformats.org/officeDocument/2006/docPropsVTypes"/>
</file>