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Aizdevuma procentu likme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Aizdevumiem, ko piešķir līdz 2022. gada 31. decembrim, procentu likmes zemāko robežu nosaka atbilstoši Eiropas Komisijas 2022. gada 1. februārī publicētajai bāzes likmei, savukārt aizdevumiem, ko piešķir no 2023. gada 1. janvāra līdz 2023. gada 31. decembrim, procentu likmes zemāko robežu nosaka atbilstoši Eiropas Komisijas 2022. gada 1. oktobrī publicētajai bāzes likmei, visos gadījumos pieskaitot tabulā norādītās kredītriska robežas atbilstoši saimnieciskās darbības veidam un aizdevuma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Zemākā kopējā aizdevumu likme sīkajiem (mikro), mazajiem un vidējiem saimnieciskās darbības veicējiem 1.–3. aizdevuma gadā nevar būt mazāka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noteikumu_konsolidētā_versija_p1_24-TA-94.docx</dc:title>
</cp:coreProperties>
</file>

<file path=docProps/custom.xml><?xml version="1.0" encoding="utf-8"?>
<Properties xmlns="http://schemas.openxmlformats.org/officeDocument/2006/custom-properties" xmlns:vt="http://schemas.openxmlformats.org/officeDocument/2006/docPropsVTypes"/>
</file>