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14.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349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Riska likmes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gridCol w:w="9491"/>
        <w:gridCol w:w="9491"/>
        <w:gridCol w:w="9491"/>
        <w:tblGridChange w:id="0">
          <w:tblGrid>
            <w:gridCol w:w="9491"/>
            <w:gridCol w:w="9491"/>
            <w:gridCol w:w="9491"/>
            <w:gridCol w:w="9491"/>
            <w:gridCol w:w="9491"/>
          </w:tblGrid>
        </w:tblGridChange>
      </w:tblGrid>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Aizdevuma rezerves bāzes punkti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Novērtējuma kategorija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Nodrošinājums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Spēcīga (AAA-A)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 (BBB)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Apmierinoša (BB)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Vāja (B)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Slikta vai finansiālās grūtības (CCC un zemāka)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Aizņēmējiem, kuriem nav kredītvēstures vai novērtējuma, kas pamatots ar bilanci (piemēram, īpašam nolūkam dibinātiem uzņēmumiem vai jaundibinātiem uzņēmumiem), riska likmi nosaka vismaz 400 bāzes punktu apmērā (atkarībā no pieejamā nodrošinājuma), un riska likme nevar būt zemāka par to, ko piemēro mātes uzņēmumam.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24-TA-94</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24-TA-94</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noteikumu_konsolidētā_versija_p2_24-TA-94.docx</dc:title>
</cp:coreProperties>
</file>

<file path=docProps/custom.xml><?xml version="1.0" encoding="utf-8"?>
<Properties xmlns="http://schemas.openxmlformats.org/officeDocument/2006/custom-properties" xmlns:vt="http://schemas.openxmlformats.org/officeDocument/2006/docPropsVTypes"/>
</file>