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aprīlī (prot. Nr. 14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(Latvijas Vēstnesis, 2022, 137. nr.; 2023, 121. nr.; 2024, 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Atbalsta mērķis atbilstoši Eiropas Savienības Atveseļošanas un noturības mehānisma (turpmāk – Atveseļošanas fonds) plāna 3.1. reformu un investīciju virziena "Reģionālā politika" 3.1.1.4.i. investīcijai "Finansēšanas fonda izveide zemas īres mājokļu būvniecībai" (turpmāk – 3.1.1.4.i. investīcija) un 3.1.1.7.i. investīcijai "Aizdevumi nekustamā īpašuma attīstītājiem zemas īres maksas mājokļu būvniecībai" (turpmāk – 3.1.1.7.i. investīcija) ir dzīvojamo īres māju būvniecība ar mērķi veicināt būvniecības standartiem un energoefektivitātes prasībām atbilstošu zemas īres maksas mājokļu pieejamību mājsaimniecībām, kas nevar atļauties mājokli uz tirgus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Atbalsts tiek sniegts un finansēts 3.1.1.4.i. investīcijas un 3.1.1.7.i. investīcijas ietvaros, un kopējais pieejamais Atveseļošanas fonda finansējums ir 71 920 919 </w:t>
      </w:r>
      <w:r w:rsidR="00000000" w:rsidRPr="00000000" w:rsidDel="00000000">
        <w:rPr>
          <w:i w:val="1"/>
          <w:rtl w:val="0"/>
        </w:rPr>
        <w:t xml:space="preserve">euro</w:t>
      </w:r>
      <w:r w:rsidR="00000000" w:rsidRPr="00000000" w:rsidDel="00000000">
        <w:rPr>
          <w:rtl w:val="0"/>
        </w:rPr>
        <w:t xml:space="preserve">, kuru veido 3.1.1.4.i. investīcijas finansējums 42 900 000 </w:t>
      </w:r>
      <w:r w:rsidR="00000000" w:rsidRPr="00000000" w:rsidDel="00000000">
        <w:rPr>
          <w:i w:val="1"/>
          <w:rtl w:val="0"/>
        </w:rPr>
        <w:t xml:space="preserve">euro </w:t>
      </w:r>
      <w:r w:rsidR="00000000" w:rsidRPr="00000000" w:rsidDel="00000000">
        <w:rPr>
          <w:rtl w:val="0"/>
        </w:rPr>
        <w:t xml:space="preserve">apmērā un 3.1.1.7.i. investīcijas finansējums 29 020 919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4. punktā minēto 3.1.1.7.i. investīcijai pieejamo finansējumu var izmantot pēc tam, kad 3.1.1.4.i. investīcijas atbalstam pieejamā brīvā finansējuma apmērs vairs nav pietiekams projekta finansēšanai."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Viena projekta ietvaros netiek apvienots 3.1.1.4.i. investīcijas un 3.1.1.7.i. investīcijas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Papildus šo noteikumu 4. punktā minētajam finansējumam sabiedrība "Altum" var: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pievienotās vērtības nodokļa izmaksām, kas nav atgūstamas vispārējā kārtībā, izmantot šo noteikumu 20. punktā minēto finansējumu un darbības programmas "Uzņēmējdarbība un inovācijas" 2.2.1.4.1. apakšaktivitātes "Atbalsts aizdevumu veidā komersantu konkurētspējas uzlabošanai", kā arī citu sabiedrības "Altum" īstenošanā un Ekonomikas ministrijas pārraudzībā esošo programmu ietvaros atmaksāto publisko finansējumu kopā līdz 14 000 000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citām izmaksām, kas netiek finansētas no šo noteikumu 4. punktā un 6.1. apakšpunktā minētā finansējuma, piesaistīt valsts aizdevumu līdz 10 000 000 </w:t>
      </w:r>
      <w:r w:rsidR="00000000" w:rsidRPr="00000000" w:rsidDel="00000000">
        <w:rPr>
          <w:i w:val="1"/>
          <w:rtl w:val="0"/>
        </w:rPr>
        <w:t xml:space="preserve">euro</w:t>
      </w:r>
      <w:r w:rsidR="00000000" w:rsidRPr="00000000" w:rsidDel="00000000">
        <w:rPr>
          <w:rtl w:val="0"/>
        </w:rPr>
        <w:t xml:space="preserve"> kredītlīnijas veidā, kā arī piesaistīt nepieciešamo aizdevumu no starptautiskajām finanšu institūcijām vai emitēt obligācijas. Valsts aizdevuma atmaksas termiņš ir līdz 2058. gada 31. decembrim. Valsts aizdevumam nepiemēro riska likmi, bet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3.1.1.4.i. investīciju un 3.1.1.7.i. investīciju īsteno Latvijas Republikas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8.1.2.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3.1.1.7.i. investīcijas ietvaros ir sasniedzami šādi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līdz 2025. gada 30. jūnijam ir noslēgts līgums ar sabiedrību "Altum" par 3.1.1.7.i. investīcijas īstenošanu un sabiedrībai "Altum" ir pārskaitīts Atveseļošanās fonda finansējums šo noteikumu 4. punktā minētajā 3.1.1.7.i. investīcijai pieejamā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līdz 2026. gada 30. jūnijam sabiedrība "Altum" ir noslēgusi aizdevumu līgumus ar nekustamā īpašuma attīstītājiem par visu šo noteikumu 4. punktā minēto 3.1.1.7.i. investīcijai pieejamo Atveseļošanās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šo noteikumu 8. un 8.</w:t>
      </w:r>
      <w:r w:rsidR="00000000" w:rsidRPr="00000000" w:rsidDel="00000000">
        <w:rPr>
          <w:vertAlign w:val="superscript"/>
          <w:rtl w:val="0"/>
        </w:rPr>
        <w:t xml:space="preserve">1</w:t>
      </w:r>
      <w:r w:rsidR="00000000" w:rsidRPr="00000000" w:rsidDel="00000000">
        <w:rPr>
          <w:rtl w:val="0"/>
        </w:rPr>
        <w:t xml:space="preserve"> punktā noteikto uzraudzības rādītāju un mērķu uzskaiti, ievadīšanu un sasniegtos uzraudzības rādītājus un mērķus pamatojošo dokumentu iesniegšanu Kohēzijas politikas fondu vadības informācijas sistēmā šo noteikumu 8. un 8.</w:t>
      </w:r>
      <w:r w:rsidR="00000000" w:rsidRPr="00000000" w:rsidDel="00000000">
        <w:rPr>
          <w:vertAlign w:val="superscript"/>
          <w:rtl w:val="0"/>
        </w:rPr>
        <w:t xml:space="preserve">1</w:t>
      </w:r>
      <w:r w:rsidR="00000000" w:rsidRPr="00000000" w:rsidDel="00000000">
        <w:rPr>
          <w:rtl w:val="0"/>
        </w:rPr>
        <w:t xml:space="preserve"> punktā noteiktajos termiņos, bet ne retāk kā divas reizes gadā. Ja datu ievades brīdī vēl nav nodrošināta Kohēzijas politikas fondu vadības informācijas sistēmas pilnvērtīga funkcionalitāte, sabiedrība "Altum" informāciju par uzraudzības rādītājiem un mērķiem un tos pamatojošo dokumentāciju sniedz elektroniska dokumenta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Sabiedrība "Altum" sniedz atbalstu saskaņā ar šo noteikumu nosacījumiem un slēdz līgumu ar ministriju, kas atbild par 3.1.1.4.i. investīcijas un 3.1.1.7.i. investīcijas īstenošanu, par šo noteikumu ietvaros noteiktajām sabiedrības "Altum" darbībām 3.1.1.4.i. investīcijas un 3.1.1.7.i. investīcijas īstenošanai, tai skaitā par šo noteikumu 4. punktā minētā finansējuma pārvaldīšanu, tā piešķiršanas, izlietošanas, uzraudzības kārtību un noteikto uzraudzības rādītāju un mērķu uzskaiti un ievadīšanu Kohēzijas politikas fondu vadības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sabiedrība "Altum" nepilda līguma nosacījumus, tai skaitā netiek ievēroti šajos noteikumos noteiktie termiņi vai ir iestājušies citi apstākļi, kas negatīvi ietekmē vai var ietekmēt 3.1.1.4.i. investīcijas un 3.1.1.7.i. investīcijas īstenošanu vai šo noteikumu 8. un 8.</w:t>
      </w:r>
      <w:r w:rsidR="00000000" w:rsidRPr="00000000" w:rsidDel="00000000">
        <w:rPr>
          <w:vertAlign w:val="superscript"/>
          <w:rtl w:val="0"/>
        </w:rPr>
        <w:t xml:space="preserve">1</w:t>
      </w:r>
      <w:r w:rsidR="00000000" w:rsidRPr="00000000" w:rsidDel="00000000">
        <w:rPr>
          <w:rtl w:val="0"/>
        </w:rPr>
        <w:t xml:space="preserve"> punktā noteikto uzraudzības rādītāju un mērķu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Ministrijas un sabiedrības "Altum" noslēgtajā šo noteikumu 12. punktā minētajā līgumā iekļauj pušu saistības par darbībām ministrijas un sabiedrības "Altum" līmenī un sabiedrības "Altum" un  nekustamā īpašuma attīstītāju līmenī, lai 3.1.1.4.i. investīcijas un 3.1.1.7.i. investīcijas īstenošanas laikā novērstu interešu konfliktu, korupciju un krāpšanu, kā arī dubultfinansējuma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Ministrija šo noteikumu 12. punktā minētajā līgumā iekļauj pušu saistības par sasniegtajiem šo noteikumu 8. un 8.</w:t>
      </w:r>
      <w:r w:rsidR="00000000" w:rsidRPr="00000000" w:rsidDel="00000000">
        <w:rPr>
          <w:vertAlign w:val="superscript"/>
          <w:rtl w:val="0"/>
        </w:rPr>
        <w:t xml:space="preserve">1</w:t>
      </w:r>
      <w:r w:rsidR="00000000" w:rsidRPr="00000000" w:rsidDel="00000000">
        <w:rPr>
          <w:rtl w:val="0"/>
        </w:rPr>
        <w:t xml:space="preserve"> punktā noteiktajiem uzraudzības rādītājiem un mērķiem un to pamatojošās dokumentācijas pārbaudēm, tajā skaitā datu ticamības pārbaudēm attiecībā uz sabiedrību "Altum" un nekustamā īpašuma attīstītājiem, kam saskaņā ar šiem noteikumiem ir piešķirts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Sabiedrība "Altum" 3.1.1.4.i. investīcijas īstenošanai var saņemt avansa maksājumus. Pirmo avansa maksājumu sabiedrība "Altum" var saņemt 30 % apmērā 2022. gadā no šo noteikumu 4. punktā minētā 3.1.1.4.i. investīcijai pieejamā finansējuma. Otro avansa maksājumu sabiedrība "Altum" var pieprasīt 30 % apmērā no šo noteikumu 4. punktā minētā 3.1.1.4.i. investīcijai pieejamā finansējuma, ja ir pieņemti lēmumi par atbalsta piešķiršanu 70 % apmērā no pirmā avansa. Noslēguma maksājumu sabiedrība "Altum" var pieprasīt, ja ir pieņemti lēmumi par atbalsta piešķiršanu 100 % apmērā no pirmā avansa maksājuma un 70 % apmērā no otrā avansa maksājuma. Detalizētāka avansa un noslēguma maksājuma izmaksas kārtība tiek noteikta šo noteikumu 12. punktā minētajā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sabiedrības "Possessor" atbalsta uzraudzības funkcijas nodrošināšanai, izmaksām nepārsniedzot 3 % no šo noteikumu 4. punktā minētā 3.1.1.4.i. investīcijai pieejamā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Pamatojoties uz sabiedrības "Possessor" iesniegto pārskatu par faktisko līdzekļu izlietojumu, ko ir apstiprinājusi ministrija, sabiedrība "Altum" viena kalendāra mēneša laikā ieskaita sabiedrības "Possessor" kontā finansējumu šo noteikumu 17.2. apakšpunktā minētajām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3.1.1.4.i. investīciju un 3.1.1.7.i. investīciju īsteno un atbalstu sniedz kombinēta finanšu instrumenta veidā. Šo noteikumu ietvaros sabiedrības "Altum" sniegto aizdevumu izsniedz kopā ar citu finansētāja aizdevumu vai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atbalsta pieteikumu, kas tai skaitā satur projekta aprakstu, informāciju par plānoto naudas plūsmu un principa "nenodarīt būtisku kaitējumu"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44.5.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"44.5. citu sabiedrības "Altum" prasīto informāciju, kas nepieciešama lēmuma pieņemšanai par aizdevuma vai paralēlā aizdevuma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2</w:t>
      </w:r>
      <w:r w:rsidR="00000000" w:rsidRPr="00000000" w:rsidDel="00000000">
        <w:rPr>
          <w:rtl w:val="0"/>
        </w:rPr>
        <w:t xml:space="preserve"> Ja nekustamā īpašuma attīstītājs divu mēnešu laikā pēc projekta atbalsta pieteikuma iesniegšanas nav iesniedzis sabiedrībai "Altum" pilnīgu un korektu šo noteikumu 44.1., 44.2., 44.3. un 44.4. apakšpunktā minēto dokumentāciju projekta izvērtēšanai, sabiedrība "Altum" var pieņemt lēmumu par projekta atbalsta pieteikuma noraidīšanu. Pēc lēmuma saņemšanas par projekta atbalsta pieteikuma noraidīšanu nekustamā īpašuma attīstītājam ir tiesības iesniegt projekta atbalsta pieteikumu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Sabiedrībai "Altum" un sabiedrībai "Possessor" ir tiesības bez maksas pieprasīt un saņemt tiešu pieeju datiem valsts informācijas sistēmās, datubāzēs un reģistros tādā apjomā, kāds nepieciešams 3.1.1.4.i. investīcijas un 3.1.1.7.i. investīcijas īstenošanai un atbalsta sniegšanai nekustamā īpašuma attīstītājiem šo noteikumu ietvaros. Lai nodrošinātu pieeju datiem, sabiedrība "Altum" un sabiedrība "Possessor", ja nepieciešams, slēdz vienošanos ar attiecīgo valsts informācijas sistēmas, datubāzes un reģistra turētāju."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3.1.1.4.i. investīcijas ietvaros projektiem, par kuru īstenošanu aizdevuma vai paralēlā aizdevuma līgumi ir noslēgti līdz 2024. gada 31. decembrim un kuru ietvaros tiek nodrošināta dzīvojamās īres mājas nodošana ekspluatācijā līdz 2026. gada 31. augustam, ir piemērojama kapitāla atlaide līdz 30 % no sabiedrības "Altum" aizdevuma vai paralēlā aizdevuma, kas tiek finansēts no šo noteikumu 4. punktā minētā 3.1.1.4.i. investīcijas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3.1.1.4.i. investīcijas ietvaros projektiem, par kuru īstenošanu aizdevuma vai paralēlā aizdevuma līgumi ir noslēgti līdz 2024. gada 31. decembrim un kuru ietvaros tiek nodrošināta dzīvojamās īres mājas nodošana ekspluatācijā pēc 2026. gada 31. augusta, ir piemērojama kapitāla atlaide līdz 25 % no sabiedrības "Altum" aizdevuma vai paralēlā aizdevuma, kas tiek finansēts no šo noteikumu 4. punktā minētā 3.1.1.4.i. investīcijas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55.2.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w:t>
      </w:r>
      <w:r w:rsidR="00000000" w:rsidRPr="00000000" w:rsidDel="00000000">
        <w:rPr>
          <w:vertAlign w:val="superscript"/>
          <w:rtl w:val="0"/>
        </w:rPr>
        <w:t xml:space="preserve">1</w:t>
      </w:r>
      <w:r w:rsidR="00000000" w:rsidRPr="00000000" w:rsidDel="00000000">
        <w:rPr>
          <w:rtl w:val="0"/>
        </w:rPr>
        <w:t xml:space="preserve"> 3.1.1.4.i. investīcijas un 3.1.1.7.i. investīcijas ietvaros projektiem, par kuru īstenošanu aizdevuma vai paralēlā aizdevuma līgumi ir noslēgti no 2025. gada 1. janvāra un kuru ietvaros tiek nodrošināta dzīvojamās īres mājas nodošana ekspluatācijā, ir piemērojama kapitāla atlaide līdz 30 % no sabiedrības "Altum" aizdevuma vai paralēlā aizdevuma, kas tiek finansēts no šo noteikumu 4. 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58.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59.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60.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61.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Projekta īstenošanas laikā būvniecības termiņu iespējams pagarināt tikai tad, ja sabiedrība "Altum" sadarbībā ar ministriju secina, ka šāds termiņa pagarinājums nerada ietekmi uz 3.1.1.4.i. investīcijas un 3.1.1.7.i. investīcijas rādītāju un mērķu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Projekta pievienotās vērtības nodokļa izmaksas, ja tās nav atgūstamas vispārējā kārtībā, un citas izmaksas, kas netiek finansētas no Atveseļošanas fonda finansējuma, var tikt finansētas no resursiem, kas noteikti šo noteikumu 6.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3.1.1.4.i. investīcijas un 3.1.1.7.i. investīcijas īstenošanas rezultātā nepamatoti izmaksātais vai neatļauti izmantotais Atveseļošanas fonda finansējums, ko sabiedrība "Altum" ir atguvusi, var tikt atkārtoti izmantots atbalsta sniegšanai šo noteikumu 3. punktā minētajam mērķim."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25-TA-101</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25-TA-101</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noteikumu_(grozījumu)_projekts_25-TA-101.docx</dc:title>
</cp:coreProperties>
</file>

<file path=docProps/custom.xml><?xml version="1.0" encoding="utf-8"?>
<Properties xmlns="http://schemas.openxmlformats.org/officeDocument/2006/custom-properties" xmlns:vt="http://schemas.openxmlformats.org/officeDocument/2006/docPropsVTypes"/>
</file>