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atļauju Tieslietu ministrijai uzņemties papildu saistības un īstenot projektu, piesaistot finansējumu no ārvalstu finanšu instrumenta"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Atļaut Tieslietu ministrijai uzņemties ilgtermiņa saistības 644 973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lai 2024., 2025. un 2026. gadā īstenotu mērķsadarbības (</w:t>
      </w:r>
      <w:r w:rsidR="00000000" w:rsidRPr="00000000" w:rsidDel="00000000">
        <w:rPr>
          <w:i w:val="1"/>
          <w:rtl w:val="0"/>
        </w:rPr>
        <w:t xml:space="preserve">Twinning</w:t>
      </w:r>
      <w:r w:rsidR="00000000" w:rsidRPr="00000000" w:rsidDel="00000000">
        <w:rPr>
          <w:rtl w:val="0"/>
        </w:rPr>
        <w:t xml:space="preserve">) projekta "Normatīvā regulējuma sistematizēšana un vienkāršošana" Uzbekistānā īstenošanu Kaimiņattiecību, attīstības sadarbības un starptautiskās sadarbības instrumenta "Eiropa pasaulē" finansētās programmas ietvaros.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Šā protokollēmuma </w:t>
      </w:r>
      <w:r w:rsidR="00000000" w:rsidRPr="00000000" w:rsidDel="00000000">
        <w:rPr>
          <w:rtl w:val="0"/>
        </w:rPr>
        <w:t xml:space="preserve">2.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projekta īstenošanai nepieciešamo finansējumu (priekšfinansējumu) 48 490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pārdalīt no 74. resora "Gadskārtējā valsts budžeta izpildes procesā pārdalāmais finansējums" programmas 80.00.00 "Nesadalītais finansējums Eiropas Savienības politiku instrumentu un pārējās ārvalstu finanšu palīdzības projektu un pasākumu īstenošanai".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 pēc īstenotā projekta noslēguma maksājuma saņemšanas nodrošināt līdzekļu ieskaitīšanu valsts pamatbudžeta ieņēmumos.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24-TA-328</w:t>
    </w:r>
    <w:r>
      <w:br/>
    </w:r>
    <w:r w:rsidR="00000000" w:rsidRPr="00000000" w:rsidDel="00000000">
      <w:rPr>
        <w:rtl w:val="0"/>
      </w:rPr>
      <w:t xml:space="preserve">Izdrukāts 29.07.2026. 21.56 - 1.0.VK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