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326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jūnijā (prot. Nr. 23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7. novembra noteikumos Nr. 635 "Elektroenerģijas tirdzniecības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w:t>
      </w:r>
      <w:r w:rsidR="00000000" w:rsidRPr="00000000" w:rsidDel="00000000">
        <w:rPr>
          <w:rStyle w:val="paragraph"/>
          <w:i w:val="1"/>
          <w:rtl w:val="0"/>
        </w:rPr>
        <w:t xml:space="preserve"> piekto daļu, </w:t>
      </w:r>
      <w:r w:rsidR="00000000" w:rsidRPr="00000000" w:rsidDel="00000000">
        <w:rPr>
          <w:rStyle w:val="paragraph"/>
          <w:i w:val="1"/>
          <w:rtl w:val="0"/>
        </w:rPr>
        <w:t xml:space="preserve">30.</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w:t>
      </w:r>
      <w:r w:rsidR="00000000" w:rsidRPr="00000000" w:rsidDel="00000000">
        <w:rPr>
          <w:rStyle w:val="paragraph"/>
          <w:i w:val="1"/>
          <w:rtl w:val="0"/>
        </w:rPr>
        <w:t xml:space="preserve"> septīto daļu, 30.</w:t>
      </w:r>
      <w:r w:rsidR="00000000" w:rsidRPr="00000000" w:rsidDel="00000000">
        <w:rPr>
          <w:rStyle w:val="paragraph"/>
          <w:i w:val="1"/>
          <w:vertAlign w:val="superscript"/>
          <w:rtl w:val="0"/>
        </w:rPr>
        <w:t xml:space="preserve">5</w:t>
      </w:r>
      <w:r w:rsidR="00000000" w:rsidRPr="00000000" w:rsidDel="00000000">
        <w:rPr>
          <w:rStyle w:val="paragraph"/>
          <w:i w:val="1"/>
          <w:rtl w:val="0"/>
        </w:rPr>
        <w:t xml:space="preserve"> panta sesto un septīto daļu, </w:t>
      </w:r>
      <w:r w:rsidR="00000000" w:rsidRPr="00000000" w:rsidDel="00000000">
        <w:rPr>
          <w:rStyle w:val="paragraph"/>
          <w:i w:val="1"/>
          <w:rtl w:val="0"/>
        </w:rPr>
        <w:t xml:space="preserve">32. panta</w:t>
      </w:r>
      <w:r w:rsidR="00000000" w:rsidRPr="00000000" w:rsidDel="00000000">
        <w:rPr>
          <w:rStyle w:val="paragraph"/>
          <w:i w:val="1"/>
          <w:rtl w:val="0"/>
        </w:rPr>
        <w:t xml:space="preserve"> trešo un piekto daļu, </w:t>
      </w:r>
      <w:r w:rsidR="00000000" w:rsidRPr="00000000" w:rsidDel="00000000">
        <w:rPr>
          <w:rStyle w:val="paragraph"/>
          <w:i w:val="1"/>
          <w:rtl w:val="0"/>
        </w:rPr>
        <w:t xml:space="preserve">33. panta</w:t>
      </w:r>
      <w:r w:rsidR="00000000" w:rsidRPr="00000000" w:rsidDel="00000000">
        <w:rPr>
          <w:rStyle w:val="paragraph"/>
          <w:i w:val="1"/>
          <w:rtl w:val="0"/>
        </w:rPr>
        <w:t xml:space="preserve"> septīto daļu, </w:t>
      </w:r>
      <w:r w:rsidR="00000000" w:rsidRPr="00000000" w:rsidDel="00000000">
        <w:rPr>
          <w:rStyle w:val="paragraph"/>
          <w:i w:val="1"/>
          <w:rtl w:val="0"/>
        </w:rPr>
        <w:t xml:space="preserve">34. panta</w:t>
      </w:r>
      <w:r w:rsidR="00000000" w:rsidRPr="00000000" w:rsidDel="00000000">
        <w:rPr>
          <w:rStyle w:val="paragraph"/>
          <w:i w:val="1"/>
          <w:rtl w:val="0"/>
        </w:rPr>
        <w:t xml:space="preserve"> trešo daļu, </w:t>
      </w:r>
      <w:r w:rsidR="00000000" w:rsidRPr="00000000" w:rsidDel="00000000">
        <w:rPr>
          <w:rStyle w:val="paragraph"/>
          <w:i w:val="1"/>
          <w:rtl w:val="0"/>
        </w:rPr>
        <w:t xml:space="preserve">35. panta</w:t>
      </w:r>
      <w:r w:rsidR="00000000" w:rsidRPr="00000000" w:rsidDel="00000000">
        <w:rPr>
          <w:rStyle w:val="paragraph"/>
          <w:i w:val="1"/>
          <w:rtl w:val="0"/>
        </w:rPr>
        <w:t xml:space="preserve"> otro daļu, </w:t>
      </w:r>
      <w:r w:rsidR="00000000" w:rsidRPr="00000000" w:rsidDel="00000000">
        <w:rPr>
          <w:rStyle w:val="paragraph"/>
          <w:i w:val="1"/>
          <w:rtl w:val="0"/>
        </w:rPr>
        <w:t xml:space="preserve">37.</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w:t>
      </w:r>
      <w:r w:rsidR="00000000" w:rsidRPr="00000000" w:rsidDel="00000000">
        <w:rPr>
          <w:rStyle w:val="paragraph"/>
          <w:i w:val="1"/>
          <w:rtl w:val="0"/>
        </w:rPr>
        <w:t xml:space="preserve"> desmito daļu, pārejas noteikumu </w:t>
      </w:r>
      <w:r w:rsidR="00000000" w:rsidRPr="00000000" w:rsidDel="00000000">
        <w:rPr>
          <w:rStyle w:val="paragraph"/>
          <w:i w:val="1"/>
          <w:rtl w:val="0"/>
        </w:rPr>
        <w:t xml:space="preserve">99.</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punktu</w:t>
      </w:r>
      <w:r w:rsidR="00000000" w:rsidRPr="00000000" w:rsidDel="00000000">
        <w:rPr>
          <w:rStyle w:val="paragraph"/>
          <w:i w:val="1"/>
          <w:rtl w:val="0"/>
        </w:rPr>
        <w:t xml:space="preserve"> un </w:t>
      </w:r>
      <w:r w:rsidR="00000000" w:rsidRPr="00000000" w:rsidDel="00000000">
        <w:rPr>
          <w:rStyle w:val="paragraph"/>
          <w:i w:val="1"/>
          <w:rtl w:val="0"/>
        </w:rPr>
        <w:t xml:space="preserve">likuma "Par sabiedrisko pakalpojumu regulatoriem" 22. panta</w:t>
      </w:r>
      <w:r w:rsidR="00000000" w:rsidRPr="00000000" w:rsidDel="00000000">
        <w:rPr>
          <w:rStyle w:val="paragraph"/>
          <w:i w:val="1"/>
          <w:rtl w:val="0"/>
        </w:rPr>
        <w:t xml:space="preserve">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2023. gada 7. novembra noteikumos Nr. 635 "Elektroenerģijas tirdzniecības un lietošanas noteikumi" (Latvijas Vēstnesis, 2023, 218. nr.; 2024, 27.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163.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Publiskais tirgotājs par iepriekšējo ceturksni (attiecīgi līdz 31. janvārim, 30. aprīlim, 31. jūlijam un 31. oktobrim) iesniedz Klimata un enerģētikas ministrijā un Būvniecības valsts kontroles birojā šādu informāciju un aprēķinu: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163.1. informāciju par kopējām elektroenerģijas obligātā iepirkuma izmaksām vai ieņēmumiem attiecībā pret elektroenerģijas tirgus cenu par iepirkto elektroenerģiju;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163.2. informāciju par kopējo izmaksāto garantēto maksu par koģenerācijas stacijā uzstādīto elektrisko jaudu;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163.3. informāciju par balansēšanas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163.4. informāciju par obligātā iepirkuma administrēšanas izmaksām, tajā skaitā darbības izmaksām un faktiskajām neto finanšu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163.5. informāciju par ieņēmumiem no izcelsmes apliecinājumu pārdošanas;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163.6. informāciju par saņemto valsts budžeta dotāciju, lai segtu publiskā tirgotāja nesegtās izmaksas par iepriekšējo periodu;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163.7. informāciju par katrā norēķinu periodā no katra elektroenerģijas ražotāja iepirkto elektroenerģijas daudzumu kilovatstundās, tam izmaksāto finanšu līdzekļu summu un iepirkuma izmaksām vai ieņēmumiem attiecībā pret elektroenerģijas tirgus cenu, kā arī par katru koģenerācijas staciju, kurai piemērojama garantēta maksa par uzstādīto elektrisko jaudu, un tai izmaksāto finanšu līdzekļu summu;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163.8. aprēķinu par šo noteikumu 163.1., 163.2., 163.3., 163.4., 163.5. un 163.6. apakšpunktā uzskaitīto izmaksu un ieņēmumu starpību, ņemot vērā šo noteikumu 165.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166.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"166. Būvniecības valsts kontroles birojs 10 darbdienu laikā pēc šo noteikumu 163. punktā minētās informācijas un aprēķina saņemšanas izvērtē to un nekavējoties, bet ne vēlāk kā triju darbdienu laikā informē Klimata un enerģētikas ministriju un publisko tirgotāju par izvērtējuma rezultātu.";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167.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"167. Būvniecības valsts kontroles birojs, ja nepieciešams, pieprasa no publiskā tirgotāja papildu informāciju par obligātā iepirkuma administrēšanas procesu šo noteikumu 163. punktā minētā aprēķina pārbaudei un vienlaikus par to informē arī Klimata un enerģētikas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167.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vertAlign w:val="superscript"/>
          <w:rtl w:val="0"/>
        </w:rPr>
        <w:t xml:space="preserve">1</w:t>
      </w:r>
      <w:r w:rsidR="00000000" w:rsidRPr="00000000" w:rsidDel="00000000">
        <w:rPr>
          <w:rtl w:val="0"/>
        </w:rPr>
        <w:t xml:space="preserve"> Ja, veicot šo noteikumu 166. punktā minēto izvērtējumu, Būvniecības valsts kontroles birojs nav konstatējis kļūdas, neprecizitātes vai neatbilstības publiskā tirgotāja iesniegtajā informācijā un aprēķinā, Klimata un enerģētikas ministrija piecu darbdienu laikā pēc šo noteikumu 166. punktā minētā Būvniecības valsts kontroles biroja izvērtējuma saņemšanas izmaksā publiskajam tirgotājam par attiecīgo ceturksni aprēķināto publiskā tirgotāja izmaksu pārsniegumu pār ieņēmumiem saskaņā ar šo noteikumu 164. punktā minēto rēķinu.";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168.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"168. Ja Būvniecības valsts kontroles birojs konstatē kļūdas, neprecizitātes vai neatbilstības šo noteikumu 163. punktā minētajā publiskā tirgotāja iesniegtajā informācijā vai aprēķinā, tas vienlaikus ar šo noteikumu 166. punktā minēto izvērtējumu nosaka termiņu, kas nav mazāks par piecām darbdienām, līdz kuram publiskajam tirgotājam jānovērš konstatētās kļūdas, neprecizitātes vai neatbilstības vai jāiesniedz šo noteikumu 167. punktā minētā papildu informācija, tai skaitā, ja nepieciešams, precizējot aprēķinu un tam atbilstošo rēķinu.";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169.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"169. Būvniecības valsts kontroles birojs piecu darbdienu laikā pēc šo noteikumu 168. punktā minētās publiskā tirgotāja precizētās informācijas un aprēķina saņemšanas izvērtē to un triju darbdienu laikā informē Klimata un enerģētikas ministriju un publisko tirgotāju par izvērtējuma rezultātu.";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169.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vertAlign w:val="superscript"/>
          <w:rtl w:val="0"/>
        </w:rPr>
        <w:t xml:space="preserve">1</w:t>
      </w:r>
      <w:r w:rsidR="00000000" w:rsidRPr="00000000" w:rsidDel="00000000">
        <w:rPr>
          <w:rtl w:val="0"/>
        </w:rPr>
        <w:t xml:space="preserve"> Ja, veicot šo noteikumu 169. punktā minēto izvērtējumu, Būvniecības valsts kontroles birojs nav konstatējis kļūdas, neprecizitātes vai neatbilstības precizētajā publiskā tirgotāja iesniegtajā informācijā un aprēķinā, Klimata un enerģētikas ministrija piecu darbdienu laikā pēc šo noteikumu 169. punktā minētā Būvniecības valsts kontroles biroja izvērtējuma saņemšanas izmaksā publiskajam tirgotājam par attiecīgo ceturksni aprēķināto publiskā tirgotāja izmaksu pārsniegumu pār ieņēmumiem saskaņā ar publiskā tirgotāja iesniegto rēķinu."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2024.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24-TA-868</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24-TA-868</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noteikumu_(grozījumu)_projekts_24-TA-868.docx</dc:title>
</cp:coreProperties>
</file>

<file path=docProps/custom.xml><?xml version="1.0" encoding="utf-8"?>
<Properties xmlns="http://schemas.openxmlformats.org/officeDocument/2006/custom-properties" xmlns:vt="http://schemas.openxmlformats.org/officeDocument/2006/docPropsVTypes"/>
</file>