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179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30. martā (prot. Nr. 16 46.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Aizsardzības ministrijai, tai skaitā Ukrainas Aizsardzības ministrijas armijas daļām un Ukrainas Nacionālajai policijai)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pielikumā norādīto valstij piekritīgo transportlīdzekļu nodošanu Ukrainas valdības institūcijām, neslēdzot rakstisku līgumu. Finanšu ministram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kura nodrošinās to nogādāšanu Ukrainā un nodošanu Ukrainas valdības institūcijām, veicot visas nepieciešamās darbības un sedzot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23-TA-716</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23-TA-716</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rīkojuma_projekts_23-TA-716.docx</dc:title>
</cp:coreProperties>
</file>

<file path=docProps/custom.xml><?xml version="1.0" encoding="utf-8"?>
<Properties xmlns="http://schemas.openxmlformats.org/officeDocument/2006/custom-properties" xmlns:vt="http://schemas.openxmlformats.org/officeDocument/2006/docPropsVTypes"/>
</file>