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387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  <w:r w:rsidR="00000000" w:rsidRPr="00000000" w:rsidDel="00000000">
        <w:rPr>
          <w:b w:val="1"/>
          <w:rtl w:val="0"/>
        </w:rPr>
        <w:t xml:space="preserve">I. Ziņas par būvniecības ieceri</w:t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  <w:r w:rsidR="00000000" w:rsidRPr="00000000" w:rsidDel="00000000">
        <w:rPr>
          <w:rtl w:val="0"/>
        </w:rPr>
        <w:t xml:space="preserve">(Daļa svītrota ar MK 20.04.2021. noteikumiem Nr. 245)</w:t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  <w:r w:rsidR="00000000" w:rsidRPr="00000000" w:rsidDel="00000000">
        <w:rPr>
          <w:b w:val="1"/>
          <w:rtl w:val="0"/>
        </w:rPr>
        <w:t xml:space="preserve">II. Ziņas par būvdarbu pabeigšanu</w:t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būvniecības lietas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būvniecības atkritumu apsaimniekotājs (juridiskās personas nosaukums un reģistrācijas numurs vai fiziskās personas vārds, uzvārds un 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būvniecības atkritumu veids (atbilstoši normatīvajiem aktiem par atkritumu klasifikatoru un īpašībām, kuras padara atkritumus bīstamus).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dokumenta nosaukums.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noteikumu_konsolidētā_versija_p3_25-TA-209.docx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