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ierīkošana, novietošana, pārbūve, atjaunošana, restaurācija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 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īslaicīgas lietošanas inženierbūve un plānotais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tā nepieciešamo daļu un 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2.6. apakšpunktā minēto inženierbūves paredzēto galveno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Ja inženierbūve ir nojaukta, būvniecības iesnieguma 2.6., 2.7.1., 2.7.2., 2.7.3., 2.7.4. un 2.7.5. 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Būvniecības iesnieguma 2.7.6. un 2.7.7. 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Būvniecības iesnieguma 2.8. apakšpunktā minētās ziņas par objektu norāda, ja inženierbūvei ir terminēts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Būvniecības iesnieguma 3. 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