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programmai pieejamā finansējuma sadalījums pa atlases kārtām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92"/>
        <w:gridCol w:w="2728"/>
        <w:gridCol w:w="2728"/>
        <w:gridCol w:w="2391"/>
        <w:tblGridChange w:id="0">
          <w:tblGrid>
            <w:gridCol w:w="1192"/>
            <w:gridCol w:w="2728"/>
            <w:gridCol w:w="2728"/>
            <w:gridCol w:w="239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Energoefektivitātes paaugstināšanas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Atjaunojamo energoresursu tehnoloģiju ieviešanas pasākumi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Bezemisiju transportlīdzekļu iegāde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atlases kārta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8 583 614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1 666 667 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atlases kārta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8 583 613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1 666 667 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atlases kārta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8 583 613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15 000 000 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1 666 666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25 750 840 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45 000 000 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5 000 000 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euro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Finansējuma atlikums tiek pārcelts uz nākamo atlases kārtu vai novirzīts sabiedrības "Altum" aizdevumu kredītriska zaudējumu segšanai kopā ar šo noteikumu </w:t>
      </w:r>
      <w:r w:rsidR="00000000" w:rsidRPr="00000000" w:rsidDel="00000000">
        <w:rPr>
          <w:rtl w:val="0"/>
        </w:rPr>
        <w:t xml:space="preserve">10.5. </w:t>
      </w:r>
      <w:r w:rsidR="00000000" w:rsidRPr="00000000" w:rsidDel="00000000">
        <w:rPr>
          <w:rtl w:val="0"/>
        </w:rPr>
        <w:t xml:space="preserve">apakšpunktā</w:t>
      </w:r>
      <w:r w:rsidR="00000000" w:rsidRPr="00000000" w:rsidDel="00000000">
        <w:rPr>
          <w:rtl w:val="0"/>
        </w:rPr>
        <w:t xml:space="preserve"> noteikto finansējumu, nepārsniedzot programmas rādītāju novērtējuma sagaidāmo paredzamo zaudējumu apmēru.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23-TA-85</w:t>
    </w:r>
    <w:r>
      <w:br/>
    </w:r>
    <w:r w:rsidR="00000000" w:rsidRPr="00000000" w:rsidDel="00000000">
      <w:rPr>
        <w:rtl w:val="0"/>
      </w:rPr>
      <w:t xml:space="preserve">Izdrukāts 29.07.2026. 21.48 - 1.0.VK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23-TA-85</w:t>
    </w:r>
    <w:r>
      <w:br/>
    </w:r>
    <w:r w:rsidR="00000000" w:rsidRPr="00000000" w:rsidDel="00000000">
      <w:rPr>
        <w:rtl w:val="0"/>
      </w:rPr>
      <w:t xml:space="preserve">Izdrukāts 29.07.2026. 21.48 - 1.0.VK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