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programmas 1.1.1. specifiskā atbalsta mērķa “Pētniecības un inovāciju kapacitātes stiprināšana un progresīvu tehnoloģiju ieviešana kopējā P&amp;A sistēmā” 1.1.1.1. pasākumu “Zinātnes politikas ieviešana, vadība un kapacitātes stiprināšana”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 attīstības fonda projekta (turpmāk – projekts) iesniedzējam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stiprināt pētniecības un attīstības pārvaldības un analītisko kapacitāti Viedās specializācijas stratēģijas vadībai un ieviešanas efektīvam monitoringam, tostarp stiprinot reģionālo dimensiju, starptautisko sadarbību un pārstāvniecību, kā arī stratēģisko komunikāciju, tai skaitā ar ieinteresētajām pusēm un plašāku sabiedrību.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 ir zinātniskās institūcijas, augstskolas, Latvijas Republikas Uzņēmumu reģistrā reģistrēti komersanti, valsts tiešās pārvaldes iestādes, kas iesaistītas pētniecības un attīstības politikas plānošanā un ieviešanā.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Pasākumam plānotais kopējais attiecināmais finansējums ir 13 616 945 euro (tajā skaitā elastības finansējuma apjoms 2 147 736 euro), tai skaitā Eiropas Reģionālā attīstības fonda (turpmāk – ERAF) finansējums 11 574 403 euro (tajā skaitā elastības finansējuma apjoms 1 825 576 euro) un valsts budžeta finansējums – 2 042 542 euro (tajā skaitā elastības finansējuma apjoms 322 160 euro).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iesniegumā pasākuma īstenošanai kopējo pieejamo finansējumu plāno ne vairāk kā 11 469 209 euro apmērā, tai skaitā ERAF finansējumu – 9 748 828 euro apmērā un valsts budžeta finansējumu – 1 720 381 euro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palielināt pasākumam pieejamo kopējo attiecināmo finansējumu līdz šo noteikumu </w:t>
      </w:r>
      <w:r w:rsidR="00000000" w:rsidRPr="00000000" w:rsidDel="00000000">
        <w:rPr>
          <w:rtl w:val="0"/>
        </w:rPr>
        <w:t xml:space="preserve">4.</w:t>
      </w:r>
      <w:r w:rsidR="00000000" w:rsidRPr="00000000" w:rsidDel="00000000">
        <w:rPr>
          <w:rtl w:val="0"/>
        </w:rPr>
        <w:t xml:space="preserve">punktā minētajam plānotajam kopējam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Maksimālais attiecināmā ERAF finansējuma apmērs nepārsniedz 85 procentus no projekta kopējā attiecināmā finansējuma.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īsteno ierobežotas projektu iesniegumu atlases veidā. Projekta iesnieguma iesniegšanu izsludina vienu reizi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nodrošināta Latvijas dalība Eiropas Pētniecības telpā (turpmāk – EPT), tai skaitā EPT darba grupās un prioritātēs atbilstoši EPT politikas programmai un Latvijas līdzdalības monitorings, līdzdalība Eiropas Savienības jaunās EPT politikas programmas izstrādē un ieviešanā, Eiropas Savienības un nacionālo EPT  pasākumu īstenošanā, tai skaitā  EPT sadaļas izveide daudzfunkcionālā Latvijas zinātnes portālā </w:t>
      </w:r>
      <w:r w:rsidR="00000000" w:rsidRPr="00000000" w:rsidDel="00000000">
        <w:rPr>
          <w:rtl w:val="0"/>
        </w:rPr>
        <w:t xml:space="preserve">https://researchLatvia.gov.lv</w:t>
      </w:r>
      <w:r w:rsidR="00000000" w:rsidRPr="00000000" w:rsidDel="00000000">
        <w:rPr>
          <w:rtl w:val="0"/>
        </w:rPr>
        <w:t xml:space="preserve">, nodrošinot sabiedrības iesaisti zinātnes politikas veidošanā un demokrātijas vērtību stiprināšanā, veicinot sabiedriskās zinātnes (Citizen Science) principu integrēšanu Latvijas zinātnes komunikācijas aktivitātēs, kā arī veicinot sieviešu un vīriešu līdztiesību EPT;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nodrošināta Latvijas pētniecības un attīstības interešu pārstāvniecība – Eiropas Savienības pētniecības un inovācijas pamatprogrammas “Apvārsnis Eiropa” (turpmāk - programma “Apvārsnis Eiropa”) programmkomitejās, tai skaitā kopīgi plānotās Eiropas partnerībās, tostarp izveidojot starpinstitucionālas darba grupas mērķtiecīgai sadarbībai un koordinācijai nacionālā līmenī starptautiskās sadarbības paplašināšanai un nodrošinot Latvijas Viedās specializācijas stratēģijas un tās ietvaros definēto specializācijas jomu padziļinātu analīzi, tai skaitā Viedās specializācijas stratēģijas monitoringa ziņojumu sagatavošanu 2024. gadā un 2027.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attīstīts daudzfunkcionāls Latvijas zinātnes portāls </w:t>
      </w:r>
      <w:r w:rsidR="00000000" w:rsidRPr="00000000" w:rsidDel="00000000">
        <w:rPr>
          <w:rtl w:val="0"/>
        </w:rPr>
        <w:t xml:space="preserve">https://researchLatvia.gov.lv</w:t>
      </w:r>
      <w:r w:rsidR="00000000" w:rsidRPr="00000000" w:rsidDel="00000000">
        <w:rPr>
          <w:rtl w:val="0"/>
        </w:rPr>
        <w:t xml:space="preserve"> un paplašināta tā funkcionalitāte, tajā skaitā pievienojot EPT sadaļu, ar mērķi stiprināt Latvijas zinātnes tēla atpazīstamību un ietekmi nacionālā un starptautiskā mērogā, tostarp nodrošinot vispārpieejamu un lietderīgu informāciju dažādām mērķauditorijām Latvijā un ārvalstīs, prioritāri ik gadu nodrošinot portāla lietotāju skaita pieaugumu par 20 procentiem salīdzinājumā ar iepriekšējo gadu un iekļaujot vismaz 50 unikālus ārvalstīs pastāvīgi dzīvojošu un strādājošu Latvijas izcelsmes zinātnieku profilus diasporas zinātnieku datubāzē, kā arī portāla apmeklētība jaunās EPT politikas programmas apspriešanai;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paplašināts Latvijas kosmosa nozares portāla </w:t>
      </w:r>
      <w:r w:rsidR="00000000" w:rsidRPr="00000000" w:rsidDel="00000000">
        <w:rPr>
          <w:rtl w:val="0"/>
        </w:rPr>
        <w:t xml:space="preserve">https://latviaspace.gov.lv</w:t>
      </w:r>
      <w:r w:rsidR="00000000" w:rsidRPr="00000000" w:rsidDel="00000000">
        <w:rPr>
          <w:rtl w:val="0"/>
        </w:rPr>
        <w:t xml:space="preserve"> saturs un pilnveidota tā funkcionalitāte ar mērķi palielināt Latvijas kosmosa nozares starptautisko atpazīstamību un konkurētspēju, tostarp veicinot nacionāla un starptautiska mēroga sadarbības tīklu veidošanu starp publisko un privāto sektoru un nodrošinot portāla lietotāju skaita pieaugumu 2027. gadā vismaz par 50 procentiem salīdzinājumā ar lietotāju skaitu 2023.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īstenoti regulāri un mērķtiecīgi pasākumi cilvēkkapitāla stiprināšanai pētniecībā un attīstībā un piesaistei Latvijas pētniecības telpā, tostarp nodrošināta Pasaules Latviešu zinātnieku kongresa norise Latvijā, iesaistot par 20 procentiem vairāk dalībnieku nekā iepriekšējā Pasaules Latviešu zinātnieku kongresā, tai skaitā par 20 procentiem vairāk ārvalstu dalībnieku no visiem kongresa dalībniekiem, prioritāri – ārvalstīs pastāvīgi dzīvojošo un strādājošo Latvijas izcelsmes zinātnieku;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nodrošināta vienota starptautiskā zinātniskā ekspertīze, tai skaitā sākotnējā, vidusposma un noslēguma zinātniskā ekspertīze Eiropas Savienības Kohēzijas politikas programmas 2021.–2027. gadam pētījumu projektiem – vismaz četrām investīciju programmām.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atbildīgās iestādes funkcijas pilda Izglītības un zinātnes ministrija (turpmāk – atbildīgā iestāde).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pasākumā ir Izglītības un zinātnes ministrija, kas pēc tam, kad ir apstiprināts projekta iesniegums,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saņēmējs projektu īsteno sadarbībā ar Latvijas Zinātnes padomi. Finansējuma saņēmējs sadarbības partneri iesaista šo noteikumu </w:t>
      </w:r>
      <w:r w:rsidR="00000000" w:rsidRPr="00000000" w:rsidDel="00000000">
        <w:rPr>
          <w:rtl w:val="0"/>
        </w:rPr>
        <w:t xml:space="preserve">14.7. </w:t>
      </w:r>
      <w:r w:rsidR="00000000" w:rsidRPr="00000000" w:rsidDel="00000000">
        <w:rPr>
          <w:rtl w:val="0"/>
        </w:rPr>
        <w:t xml:space="preserve">apakšpunktā</w:t>
      </w:r>
      <w:r w:rsidR="00000000" w:rsidRPr="00000000" w:rsidDel="00000000">
        <w:rPr>
          <w:rtl w:val="0"/>
        </w:rPr>
        <w:t xml:space="preserve"> minētās atbalstāmās darbības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sistēmas elektronisko vidi. Projekta iesniedzējs projekta iesniegumam pielikumā pievieno rīcības plānu starpinstitucionālās, starptautiskās un starpsektoru sadarbības stiprināšanai pētniecības kapacitātes attīstībai, tostarp stiprinot Latvijas līdzdalību EPT. Minētais plāns tiek īstenots līdz projekta noslēgumam.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Pasākumā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dalība EPT, tai skaitā EPT darba grupās un prioritātēs atbilstoši EPT  politikas programmai un EPT monitoringa ziņojuma izstrāde, līdzdalība Eiropas Savienības jaunās EPT politikas programmas izstrādē un ieviešanā, Eiropas Savienības un nacionālo EPT pasākumu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pētniecības un attīstības interešu pārstāvniecības stiprināšana programmas "Apvārsnis Eiropa" un Eiropas Savienības pētniecības un inovācijas 10. Ietvara programmā, un citās starptautiskās programmās un partnerībās;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Viedās specializācijas stratēģijas un tās ietvaros definēto specializācijas jomu padziļināta analīze un monitorings;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zinātnes stratēģiskās komunikācijas īstenošana, tajā skaitā, bet ne tikai informācijas un komunikācijas platformas </w:t>
      </w:r>
      <w:r w:rsidR="00000000" w:rsidRPr="00000000" w:rsidDel="00000000">
        <w:rPr>
          <w:rtl w:val="0"/>
        </w:rPr>
        <w:t xml:space="preserve">https://researchLatvia.gov.lv</w:t>
      </w:r>
      <w:r w:rsidR="00000000" w:rsidRPr="00000000" w:rsidDel="00000000">
        <w:rPr>
          <w:rtl w:val="0"/>
        </w:rPr>
        <w:t xml:space="preserve"> attīstīšana un funkcionalitātes paplašināšana, sadarbības ar diasporu stiprināšana un Pasaules Latviešu zinātnieku kongresa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zinātnisko institūciju starptautiskā izvērtējuma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vadības un īstenošanas personāla kapacitātes stiprināšana šo noteikumu 14.1., 14.2., 14.3. , 14.4. un 14.5. 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Eiropas Savienības kohēzijas politikas programmas 2021.–2027. gadam pētījumu projektu zinātniskās kvalitātes starptautiskas novērtēšanas nodrošināšana, piesaistot zinātnisko ekspertu datubāzēs iekļautus ekspertus;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projekta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Pasākumā ir šādi izmaksu 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projekta īstenošanas personāla atlīdzības izmaksas (izņemot virsstundas)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atbalstāmo darbību īstenošanai atbilstoši atbildīgās iestādes apstiprinātajai vienkāršoto izmaksu metodikai, kas saskaņota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apdrošināšanas izmaksas un obligāto veselības pārbaužu izmaksas, redzes korekcijas līdzekļu kompensācija, finansējuma saņēmēja  un sadarbības partnera projekta vadības un īstenošanas personālam saskaņā ar normatīvajiem aktiem par valsts un pašvaldību institūciju amatpersonu un darbinieku atlīdzību, kā arī attiecīgās iestādes iekšējiem normatīvajiem aktiem; ja projekta vadības un īstenošanas personāls ir nodarbināts normālu darba laiku, veselības apdrošināšanas izmaksas ir attiecināmas 100 procentu apmērā; ja projekta vadības un īstenošanas personāls ir nodarbināts nepilnu darba laiku, veselības apdrošināšanas izmaksas nosakāmas atbilstoši nepilnā darba laika noslodzei; ja projekta vadības un īstenošanas personāla atlīdzībai piemēro daļlaika attiecināmības principu, veselības apdrošināšanas izmaksas nosakāmas atbilstoši daļlaika noslodzei; veselības apdrošināšanas izmaksas ir attiecināmas tikai periodā, kad projekta vadības un īstenošanas personāls ir nodarbināts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jaunradītu darba vietu vai esošo darba vietu atjaunošanai nepieciešamā aprīkojuma, tai skaitā biroja mēbeļu un tehnikas, datorprogrammu un licences iegādes vai īres izmaksas, tai skaitā aprīkojuma uzturēšanas un remonta izmaksas, ne vairāk kā 3 000 euro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braucienu un komandējumu, tai skaitā ārvalstu, izmaksas attiecināmas saskaņā ar normatīvajiem aktiem par kārtību, kādā atlīdzināmi ar komandējumiem un darbinieku darba braucieniem saistītie izdevumi;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pakalpojumu izmaksas; 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zinātnisko ekspertu  datubāzēs iekļauto ekspertu darba samaksa, kuri veiks </w:t>
      </w:r>
      <w:r w:rsidR="00000000" w:rsidRPr="00000000" w:rsidDel="00000000">
        <w:rPr>
          <w:rtl w:val="0"/>
        </w:rPr>
        <w:t xml:space="preserve">14.7. </w:t>
      </w:r>
      <w:r w:rsidR="00000000" w:rsidRPr="00000000" w:rsidDel="00000000">
        <w:rPr>
          <w:rtl w:val="0"/>
        </w:rPr>
        <w:t xml:space="preserve">apakšpunktā</w:t>
      </w:r>
      <w:r w:rsidR="00000000" w:rsidRPr="00000000" w:rsidDel="00000000">
        <w:rPr>
          <w:rtl w:val="0"/>
        </w:rPr>
        <w:t xml:space="preserve"> minēto pētījumu projektu sākotnējo, vidusposma un gala rezultātu zinātniskās kvalitātes vērtēšanu;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semināru, diskusiju, konferenču un mācību organizēšanu un īstenošanu saistītās izmaksas, tai skaitā ekspertu izmaksas, telpu īre, ja aktivitāšu īstenošanai nepieciešams īrēt telpas ārpus finansējuma saņēmēja vai sadarbības partnera juridiskās adreses, un izdales materiālu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kas nosaka kārtību, kādā Eiropas Savienības fondu vadībā iesaistītās institūcijas nodrošina šo fondu ieviešanu 2021.–2027. gada plānošanas periodā, šo noteikumu </w:t>
      </w:r>
      <w:r w:rsidR="00000000" w:rsidRPr="00000000" w:rsidDel="00000000">
        <w:rPr>
          <w:rtl w:val="0"/>
        </w:rPr>
        <w:t xml:space="preserve">14.9.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minētajām tiešajām attiecināmajām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64.panta 1.punkta “c” apakšpunktā ietvertajiem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projekta īstenošanas laikā vadošā iestāde izstrādā vienkāršoto izmaksu metodiku kādām no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minētajām izmaksām, tām piemēro vadošās iestādes izstrādāto metodiku atbilstoši metodikā noteiktajam spēkā stāšanās laikam un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finansējuma saņēmējam un sadarbības partnerim izmaksas ir attiecināmas, ja tās atbilst šajos noteikumos minētajām izmaksu pozīcijām un ir radušās no šo noteikumu spēkā stāšanās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īstenošanas gaitā radušos izmaksu sadārdzinājumu finansējuma saņēmējs sedz no saviem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saņēmējs projektu īsteno saskaņā ar vienošanos par projekta īstenošanu, kas noslēgta starp finansējuma saņēmēju un sadarbības iestādi,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Publiskos iepirkumus finansējuma saņēmējs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saņēmējs nodrošina informācijas un publicitātes pasākumus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pieejama,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īstenošanas uzraudzībai Izglītības un zinātnes ministrija izveido projekta uzraudzības padomi, kuras sastāvā iekļauj Izglītības un zinātnes ministrijas, Latvijas Zinātnes padomes, Ekonomikas ministrijas un Latvijas Investīciju un attīstības aģentūras pārstāvjus. Projekta uzraudzības padomes sastāvā novērotāju statusā var iekļaut pārstāvjus arī no citām institūcijām, tai skaitā no Finanšu ministrijas, Centrālās finanšu un līgumu aģentūras un atbildīgās iestādes. Padomes darbību nosaka Izglītības un zinātnes ministrijas izstrādāts un apstiprināts nolikums.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vismaz vienu reizi gadā iesniedz ziņojumu projekta uzraudzības padomei par projekta īstenošanas progresu, tai skaitā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noteikto rādītāju sasniegtajām vērtībām.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23-TA-818</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23-TA-818</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noteikumu_projekts_23-TA-818.docx</dc:title>
</cp:coreProperties>
</file>

<file path=docProps/custom.xml><?xml version="1.0" encoding="utf-8"?>
<Properties xmlns="http://schemas.openxmlformats.org/officeDocument/2006/custom-properties" xmlns:vt="http://schemas.openxmlformats.org/officeDocument/2006/docPropsVTypes"/>
</file>