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februārī (prot. Nr. 6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(Latvijas Vēstnesis, 2015, 238. nr.; 2016, 107. nr.; 2017, 114., 213. nr.; 2018, 182., 226., 251. nr.; 2019, 176. nr.; 2020, 242. nr.; 2021, 38., 181.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iznākuma rādītāji: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līdz 2023. gada 31. decembrim atjaunoto degradēto teritoriju platība, kas pielāgota jaunu komersantu izvietošanai vai esošo komersantu paplašināšanai, lai sekmētu nodarbinātību un ekonomisko aktivitāti pašvaldībās (kopējā atjaunotā zemes platība), – vismaz 490,88 hektāri, tai skaitā par 13.1.3.3. pasākuma finansējumu – vismaz 19,88 hektāri. Komersants šo noteikumu izpratnē ir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līdz 2028. gada 31. decembrim jaunizveidoto darba vietu skaits atbalstītajās teritorijās – vismaz 4 175 jaunizveidotas darba vietas, tai skaitā par 13.1.3.3. pasākuma finansējumu – vismaz 295 jaunizveidotas darba 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9.1.3. līdz 2028. gada 31. decembrim atbalstītajā teritorijā atrodošos komersantu nefinanšu investīcijas pašu nemateriālajos ieguldījumos un pamatlīdzekļos (faktiskajās cenās, </w:t>
      </w:r>
      <w:r w:rsidR="00000000" w:rsidRPr="00000000" w:rsidDel="00000000">
        <w:rPr>
          <w:i w:val="1"/>
          <w:rtl w:val="0"/>
        </w:rPr>
        <w:t xml:space="preserve">euro</w:t>
      </w:r>
      <w:r w:rsidR="00000000" w:rsidRPr="00000000" w:rsidDel="00000000">
        <w:rPr>
          <w:rtl w:val="0"/>
        </w:rPr>
        <w:t xml:space="preserve">) – vismaz 248 607 122 </w:t>
      </w:r>
      <w:r w:rsidR="00000000" w:rsidRPr="00000000" w:rsidDel="00000000">
        <w:rPr>
          <w:i w:val="1"/>
          <w:rtl w:val="0"/>
        </w:rPr>
        <w:t xml:space="preserve">euro</w:t>
      </w:r>
      <w:r w:rsidR="00000000" w:rsidRPr="00000000" w:rsidDel="00000000">
        <w:rPr>
          <w:rtl w:val="0"/>
        </w:rPr>
        <w:t xml:space="preserve">, tai skaitā par 13.1.3.3. pasākuma finansējumu – vismaz 12 082 750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radušās divu kalendāra gadu laikā pirms projekta iesnieguma iesniegšanas un ne vēlāk kā piektajā kalendāra gadā pēc projekta noslēguma maksājuma veikšanas, nepārsniedzot šo noteikumu 9.1. apakšpunktā minēto termiņu. Ja projekta iesniedzējs iznākuma rādītāja vērtību sasniedz, sadarbības iestāde turpmāko projekta iznākuma rādītāja izpildes kontroli neveic;".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 651/2014, Komisijas regulas Nr. 1388/2014 vai Komisijas regulas Nr. 702/2014 prasībām, sadarbības iestāde finansējuma saņēmējam uzliek par pienākumu atmaksāt sadarbības iestādei projekta ietvaros saņemto nelikumīgo komercdarbības atbalstu kopā ar procentiem no līdzekļiem, kas ir brīvi no komercdarbības atbalsta, atbilstoši Komercdarbības atbalsta kontroles likuma IV vai V nodaļas nosacījumiem. Savukārt, ja tiek pārkāptas šajos noteikumos noteiktās komercdarbības atbalsta kontroles normas, tostarp nosacījumi, kas izriet no Komisijas regulas Nr. 1407/2013, Komisijas regulas Nr. 717/2014 vai Komisijas regulas Nr. 1408/2013 prasībām, sadarbības iestāde finansējuma saņēmējam uzliek par pienākumu atmaksāt sadarbības iestādei visu saņemto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vertAlign w:val="superscript"/>
          <w:rtl w:val="0"/>
        </w:rPr>
        <w:t xml:space="preserve">3</w:t>
      </w:r>
      <w:r w:rsidR="00000000" w:rsidRPr="00000000" w:rsidDel="00000000">
        <w:rPr>
          <w:rtl w:val="0"/>
        </w:rPr>
        <w:t xml:space="preserve"> 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22-TA-3464</w:t>
    </w:r>
    <w:r>
      <w:br/>
    </w:r>
    <w:r w:rsidR="00000000" w:rsidRPr="00000000" w:rsidDel="00000000">
      <w:rPr>
        <w:rtl w:val="0"/>
      </w:rPr>
      <w:t xml:space="preserve">Izdrukāts 29.07.2026. 21.27 - 1.0.VK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22-TA-3464</w:t>
    </w:r>
    <w:r>
      <w:br/>
    </w:r>
    <w:r w:rsidR="00000000" w:rsidRPr="00000000" w:rsidDel="00000000">
      <w:rPr>
        <w:rtl w:val="0"/>
      </w:rPr>
      <w:t xml:space="preserve">Izdrukāts 29.07.2026. 21.27 - 1.0.VK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noteikumu_(grozījumu)_projekts_22-TA-3464.docx</dc:title>
</cp:coreProperties>
</file>

<file path=docProps/custom.xml><?xml version="1.0" encoding="utf-8"?>
<Properties xmlns="http://schemas.openxmlformats.org/officeDocument/2006/custom-properties" xmlns:vt="http://schemas.openxmlformats.org/officeDocument/2006/docPropsVTypes"/>
</file>