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decembra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964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2023. gadam un budžeta ietvaru 2023., 2024. un 2025.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4981"/>
        <w:gridCol w:w="1820"/>
        <w:gridCol w:w="1844"/>
        <w:tblGridChange w:id="0">
          <w:tblGrid>
            <w:gridCol w:w="393"/>
            <w:gridCol w:w="4981"/>
            <w:gridCol w:w="1820"/>
            <w:gridCol w:w="18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aktualizētām makroekonomisko rādītāju, ieņēmumu un vispārējās valdības budžeta bilances prognozēm 2023., 2024. un 2025.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decembris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prioritārajiem pasākumiem 2023., 2024. un 2025.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decembris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Diskusijas un lēmumu pieņemšana par valsts budžeta likumprojektā iekļaujamiem prioritārajiem pasākumiem 2023., 2024. un 2025.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janvāris–12. janvāris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2023., 2024. un 2025.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janvāris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2023., 2024. un 2025.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janvāris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janvāris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2023., 2024. un 2025.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janvāris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janvāris,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janvāris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februāris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februāris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Precizētā vispārējās valdības budžeta plāna projekta 2023.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februāris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2023. gadam un budžeta ietvaru 2023., 2024. un 2025.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februāris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Precizētā vispārējās valdības budžeta plāna projekta 2023.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februāris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2023. gadam un budžeta ietvaru 2023., 2024. un 2025.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februāris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22-TA-2739</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22-TA-2739</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rīkojuma_projekts_p_22-TA-2739.docx</dc:title>
</cp:coreProperties>
</file>

<file path=docProps/custom.xml><?xml version="1.0" encoding="utf-8"?>
<Properties xmlns="http://schemas.openxmlformats.org/officeDocument/2006/custom-properties" xmlns:vt="http://schemas.openxmlformats.org/officeDocument/2006/docPropsVTypes"/>
</file>