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Ieguldījumu pārvaldes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 193. nr., 2025, 188.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panta pirmo daļu ar 43.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centrālais darījumu partneris – persona, kas noteikta Eiropas Parlamenta un Padomes 2012. gada 4. jūlija regulas (ES) Nr. 648/2012 par ārpusbiržas atvasinātajiem instrumentiem, centrālajiem darījumu partneriem un darījumu reģistriem (turpmāk – Regula Nr. 648/2012) 2. panta 1.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66.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darījumu apmērs darījumos ar atvasinātajiem finanšu instrumentiem, kuru tīrvērte nav veikta centralizēti ar tāda centrālā darījumu partnera starpniecību, kurš saņēmis atļauju vai ir atzīts saskaņā ar Regulas Nr. 648/2012 14. vai 25. pantu, ar katru darījumu partneri nedrīkst pārsniegt:”;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Neņemot vērā šā panta pirmajā, sestajā, septītajā un astotajā daļā atsevišķi noteiktos ieguldījumu ierobežojumus, kopējie fonda ieguldījumi pārvedamajos vērtspapīros un naudas tirgus instrumentos, fonda noguldījumi un darījumi ar atvasinātajiem finanšu instrumentiem, ja to tīrvērti neveic centralizēti ar tāda centrālā darījumu partnera starpniecību, kurš saņēmis atļauju vai ir atzīts saskaņā ar Regulas Nr. 648/2012 14. vai 25.pantu, kuru emitents vai garantētājs, noguldījuma piesaistītājs vai darījuma otra puse ir viena un tā pati persona, nedrīkst pārsniegt 20 procentus no fonda aktīviem. Piemērojot šajā pantā noteiktos ieguldījumu ierobežojumus, vienā grupā ietilpstošas komercsabiedrības uzskata par vienu personu.”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ar 88.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11. panta pirmajā daļā, 58. panta pirmajā  daļā, 73. panta astotajā un devītajā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11. panta pirmajā daļā un 87.</w:t>
      </w:r>
      <w:r w:rsidR="00000000" w:rsidRPr="00000000" w:rsidDel="00000000">
        <w:rPr>
          <w:vertAlign w:val="superscript"/>
          <w:rtl w:val="0"/>
        </w:rPr>
        <w:t xml:space="preserve">1</w:t>
      </w:r>
      <w:r w:rsidR="00000000" w:rsidRPr="00000000" w:rsidDel="00000000">
        <w:rPr>
          <w:rtl w:val="0"/>
        </w:rPr>
        <w:t xml:space="preserve"> panta pirmajā daļā minēto informāciju Eiropas vienotajam piekļuves punktam sniedz Regulas Nr. 2023/2859 2. panta 3. punktā noteiktajā formātā. Minētā informācija satur Regulas Nr. 2023/2859 7. panta 4. punkta “b” un  “c” apakšpunktā minēto informāciju, tai skaitā visu to ieguldījumu pārvaldības sabiedrību nosaukumus, uz kurām attiecas informācija un norādi, vai informācija satur fiziskas personas datus. Šā likuma 58. panta pirmajā daļā un 73. panta astotajā un devītajā daļā minēto informāciju Eiropas vienotajam piekļuves punktam sniedz Regulas Nr. 2023/2859 2. panta 3. vai 4. punktā noteiktajā formātā. Minētā informācija satur Regulas Nr. 2023/2859 7. panta 4. punkta “b”, “c” un “d” apakšpunktā minēto informāciju, tai skaitā visu to ieguldījumu pārvaldes sabiedrību nosaukumus, uz kurām attiecas informācija un norādi, vai informācija satur fiziskas personas datus.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Eiropas vienotajam piekļuves punktam sniedz Regulas Nr. 2023/2859 2. panta 3. vai 4. punktā noteiktajā formātā. Informācija satur Regulas Nr. 2023/2859 7. panta 4. punkta "b", "c", "d" un "e" apakšpunktā minēto informāciju, tai skaitā pārvaldes sabiedrību nosaukumi uz kuriem informācija attiecas un norādi, vai informācija satur fiziskās personas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51. un 52.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1. panta pirmās daļas 43. punkta jauno redakciju, 66. panta astotās daļas ievaddaļas un vienpadsmitās daļas jauno redakciju piemēro, sākot ar  2026. gada 25.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Šā likuma 88.</w:t>
      </w:r>
      <w:r w:rsidR="00000000" w:rsidRPr="00000000" w:rsidDel="00000000">
        <w:rPr>
          <w:vertAlign w:val="superscript"/>
          <w:rtl w:val="0"/>
        </w:rPr>
        <w:t xml:space="preserve">1</w:t>
      </w:r>
      <w:r w:rsidR="00000000" w:rsidRPr="00000000" w:rsidDel="00000000">
        <w:rPr>
          <w:rtl w:val="0"/>
        </w:rPr>
        <w:t xml:space="preserve"> pantu piemēro, sākot ar  2028. gada 10. janvāri.”.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informatīvo atsauci uz Eiropas Savienības direktīvām ar 22. un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Eiropas Parlamenta un Padomes 2023. gada 13. decembra direktīvas (ES) 2023/2864, ar ko attiecībā uz Eiropas vienotā piekļuves punkta izveidi un darbību groza konkrētas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Eiropas Parlamenta un Padomes 2024. gada 27. novembra direktīvas (ES) 2024/2994, ar ko direktīvas 2009/65/EK, 2013/36/ES un 2019/2034/ES groza attiecībā uz pieeju koncentrācijas riskam, kas izriet no riska darījumiem ar centrālajiem darījumu partneriem, un darījuma partnera riskam atvasināto instrumentu darījumos, kuriem tīrvērte veikta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25-TA-2538</w:t>
    </w:r>
    <w:r>
      <w:br/>
    </w:r>
    <w:r w:rsidR="00000000" w:rsidRPr="00000000" w:rsidDel="00000000">
      <w:rPr>
        <w:rtl w:val="0"/>
      </w:rPr>
      <w:t xml:space="preserve">Izdrukāts 29.07.2026. 23.11 - 1.0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25-TA-2538</w:t>
    </w:r>
    <w:r>
      <w:br/>
    </w:r>
    <w:r w:rsidR="00000000" w:rsidRPr="00000000" w:rsidDel="00000000">
      <w:rPr>
        <w:rtl w:val="0"/>
      </w:rPr>
      <w:t xml:space="preserve">Izdrukāts 29.07.2026. 23.11 - 1.0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likumprojekts_(grozījumi)_25-TA-2538.docx</dc:title>
</cp:coreProperties>
</file>

<file path=docProps/custom.xml><?xml version="1.0" encoding="utf-8"?>
<Properties xmlns="http://schemas.openxmlformats.org/officeDocument/2006/custom-properties" xmlns:vt="http://schemas.openxmlformats.org/officeDocument/2006/docPropsVTypes"/>
</file>