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10.</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2007.gada 2.maija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296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Paraugu ņemšanas plāns zvejas kuģu dzinēju jaudas atbilstības uzraudzībai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Vispārīgie jautājumi</w:t>
      </w:r>
    </w:p>
    <w:p w:rsidP="00000000" w:rsidRDefault="00000000" w:rsidR="00000000" w:rsidRPr="00000000" w:rsidDel="00000000">
      <w:pPr>
        <w:contextualSpacing w:val="0"/>
        <w:spacing w:lineRule="auto" w:line="240"/>
        <w:pBdr/>
      </w:pPr>
      <w:r w:rsidR="00000000" w:rsidRPr="00000000" w:rsidDel="00000000">
        <w:rPr>
          <w:rtl w:val="0"/>
        </w:rPr>
        <w:t xml:space="preserve"/>
      </w:r>
      <w:r>
        <w:tab/>
      </w:r>
      <w:r>
        <w:br/>
      </w:r>
      <w:r>
        <w:tab/>
      </w:r>
      <w:r>
        <w:br/>
      </w:r>
      <w:r w:rsidR="00000000" w:rsidRPr="00000000" w:rsidDel="00000000">
        <w:rPr>
          <w:rtl w:val="0"/>
        </w:rPr>
        <w:t xml:space="preserve">1. Paraugu ņemšanas plāns zvejas kuģu dzinēju jaudas atbilstības uzraudzībai ir izstrādāts, lai uzlabotu un nodrošinātu zvejas flotes kapacitātes atbilstību Eiropas Savienības un nacionālo normatīvo aktu prasībām.</w:t>
      </w:r>
      <w:r>
        <w:tab/>
      </w:r>
      <w:r>
        <w:br/>
      </w:r>
      <w:r>
        <w:tab/>
      </w:r>
      <w:r>
        <w:br/>
      </w:r>
      <w:r w:rsidR="00000000" w:rsidRPr="00000000" w:rsidDel="00000000">
        <w:rPr>
          <w:rtl w:val="0"/>
        </w:rPr>
        <w:t xml:space="preserve">2. Plāns nosaka zvejas flotes kuģu un to izmantojamo dzinēju grupu, kā arī pasākumus, kas nepieciešami zvejas kuģu individuālās sertificētās dzinēja jaudas atbilstības uzraudzībai un verifikācijai.</w:t>
      </w:r>
      <w:r>
        <w:tab/>
      </w:r>
      <w:r>
        <w:br/>
      </w:r>
      <w:r>
        <w:tab/>
      </w:r>
      <w:r>
        <w:br/>
      </w:r>
      <w:r w:rsidR="00000000" w:rsidRPr="00000000" w:rsidDel="00000000">
        <w:rPr>
          <w:rtl w:val="0"/>
        </w:rPr>
        <w:t xml:space="preserve">3. Sertificēta dzinēja jauda ir maksimālā nepārtraukta dzinēja jauda, ko var sasniegt pie dzinēja jaudas noņēmēja atloka. Šo jaudu apliecina Latvijas Jūras administrācijas izsniegtā kuģošanas spējas apliecība dzinējam, kas uzstādīts līdz 2011.gada 31.decembrim, pamatojoties uz normatīvajos aktos par klasifikācijas sabiedrību (atzīto organizāciju) uzraudzības kārtību noteiktās atzītās organizācijas (turpmāk – klasifikācijas sabiedrība) vai dzinēja ražotāja sniegto informāciju. Dzinējiem, kas uzstādīti pēc 2011.gada 31.decembra, apliecību izdod, pamatojoties uz klasifikācijas sabiedrības sniegto informāciju.</w:t>
      </w:r>
      <w:r>
        <w:tab/>
      </w:r>
      <w:r>
        <w:br/>
      </w:r>
      <w:r>
        <w:tab/>
      </w:r>
      <w:r>
        <w:br/>
      </w:r>
      <w:r w:rsidR="00000000" w:rsidRPr="00000000" w:rsidDel="00000000">
        <w:rPr>
          <w:rtl w:val="0"/>
        </w:rPr>
        <w:t xml:space="preserve">4. Saskaņā ar šo plānu Latvijas Jūras administrācija ir Latvijas kompetentā iestāde, kas apstiprina dzinēja jaudu atbilstoši klasifikācijas sabiedrības sniegtajai informācijai.</w:t>
      </w:r>
      <w:r>
        <w:tab/>
      </w:r>
      <w:r>
        <w:br/>
      </w:r>
      <w:r>
        <w:tab/>
      </w:r>
      <w:r>
        <w:br/>
      </w:r>
      <w:r w:rsidR="00000000" w:rsidRPr="00000000" w:rsidDel="00000000">
        <w:rPr>
          <w:rtl w:val="0"/>
        </w:rPr>
        <w:t xml:space="preserve">5. Valsts vides dienests ir kompetentā iestāde, kas pieprasa dzinēja jaudas fizisko verifikāciju ar dzinēju jaudu saistītās informācijas neatbilstības gadījumā, kā arī dokumentāro pārbaudi saskaņā ar šā plāna 14.punktu.</w:t>
      </w:r>
      <w:r>
        <w:tab/>
      </w:r>
      <w:r>
        <w:br/>
      </w:r>
      <w:r>
        <w:tab/>
      </w:r>
      <w:r>
        <w:br/>
      </w:r>
      <w:r w:rsidR="00000000" w:rsidRPr="00000000" w:rsidDel="00000000">
        <w:rPr>
          <w:rtl w:val="0"/>
        </w:rPr>
        <w:t xml:space="preserve">6. Latvijas Jūras akadēmija vai cita kompetentā iestāde vai uzņēmums veic dzinēja jaudas fizisko verifikāciju pēc Valsts vides dienesta pieprasījuma.</w:t>
      </w:r>
      <w:r>
        <w:tab/>
      </w:r>
      <w:r>
        <w:br/>
      </w:r>
      <w:r>
        <w:tab/>
      </w:r>
      <w:r>
        <w:br/>
      </w:r>
      <w:r w:rsidR="00000000" w:rsidRPr="00000000" w:rsidDel="00000000">
        <w:rPr>
          <w:rtl w:val="0"/>
        </w:rPr>
        <w:t xml:space="preserve">7. Latvijas kompetento iestāžu amatpersonas ir tiesīgas zvejas kuģu dzinējiem veikt nediskriminējošu inspekciju un verifikāciju jūrā, ostās vai transportēšanas laikā.</w:t>
      </w:r>
      <w:r>
        <w:tab/>
      </w:r>
      <w:r>
        <w:br/>
      </w:r>
      <w:r>
        <w:tab/>
      </w:r>
      <w:r>
        <w:br/>
      </w:r>
      <w:r w:rsidR="00000000" w:rsidRPr="00000000" w:rsidDel="00000000">
        <w:rPr>
          <w:rtl w:val="0"/>
        </w:rPr>
        <w:t xml:space="preserve">8. Latvijas kompetento iestāžu amatpersonām ir pastāvīga un brīva piekļuve informācijai un dokumentiem, kas attiecas uz zvejas kuģu dzinējiem, kā arī tām kuģu telpām, kurās dzinēji ir izvietoti.</w:t>
      </w:r>
      <w:r>
        <w:tab/>
      </w:r>
      <w:r>
        <w:br/>
      </w:r>
      <w:r>
        <w:tab/>
      </w:r>
      <w:r>
        <w:br/>
      </w:r>
      <w:r w:rsidR="00000000" w:rsidRPr="00000000" w:rsidDel="00000000">
        <w:rPr>
          <w:rtl w:val="0"/>
        </w:rPr>
        <w:t xml:space="preserve">9. Zvejniekiem ir pienākums sadarboties ar kompetentajām iestādēm, lai nodrošinātu galvenā dzinēja jaudas dokumentāro un fizisko pārbaudi.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Riska analīze un verifikācija</w:t>
      </w:r>
    </w:p>
    <w:p w:rsidP="00000000" w:rsidRDefault="00000000" w:rsidR="00000000" w:rsidRPr="00000000" w:rsidDel="00000000">
      <w:pPr>
        <w:contextualSpacing w:val="0"/>
        <w:spacing w:lineRule="auto" w:line="240"/>
        <w:pBdr/>
      </w:pPr>
      <w:r w:rsidR="00000000" w:rsidRPr="00000000" w:rsidDel="00000000">
        <w:rPr>
          <w:rtl w:val="0"/>
        </w:rPr>
        <w:t xml:space="preserve"/>
      </w:r>
      <w:r>
        <w:tab/>
      </w:r>
      <w:r>
        <w:br/>
      </w:r>
      <w:r>
        <w:tab/>
      </w:r>
      <w:r>
        <w:br/>
      </w:r>
      <w:r w:rsidR="00000000" w:rsidRPr="00000000" w:rsidDel="00000000">
        <w:rPr>
          <w:rtl w:val="0"/>
        </w:rPr>
        <w:t xml:space="preserve">10. Lai zvejas flotē identificētu zvejas kuģu grupu, kurā pastāv risks, ka var tikt deklarēta mazāka galvenā dzinēja jauda nekā faktiskā, reizi gadā (līdz 31.decembrim), izvērtējot Zemkopības ministrijas zvejai apstiprināto kuģu sarakstu, Valsts vides dienests veic kuģu datu un attiecīgo parametru analīzi.</w:t>
      </w:r>
      <w:r>
        <w:tab/>
      </w:r>
      <w:r>
        <w:br/>
      </w:r>
      <w:r>
        <w:tab/>
      </w:r>
      <w:r>
        <w:br/>
      </w:r>
      <w:r w:rsidR="00000000" w:rsidRPr="00000000" w:rsidDel="00000000">
        <w:rPr>
          <w:rtl w:val="0"/>
        </w:rPr>
        <w:t xml:space="preserve">11. Šā plāna 10.punktā minētā izvērtēšana pamatojas vismaz uz šādiem augsta riska kritērijiem:</w:t>
      </w:r>
      <w:r>
        <w:tab/>
      </w:r>
      <w:r>
        <w:br/>
      </w:r>
      <w:r>
        <w:tab/>
      </w:r>
      <w:r>
        <w:br/>
      </w:r>
      <w:r w:rsidR="00000000" w:rsidRPr="00000000" w:rsidDel="00000000">
        <w:rPr>
          <w:rtl w:val="0"/>
        </w:rPr>
        <w:t xml:space="preserve">11.1. zvejas kuģi, kas darbojas zvejniecībā, kurai noteikts zvejas piepūles režīms (īpaši tie zvejas kuģi, kam ir iedalīta individuāla zvejas piepūle kilovatdienās);</w:t>
      </w:r>
      <w:r>
        <w:tab/>
      </w:r>
      <w:r>
        <w:br/>
      </w:r>
      <w:r>
        <w:tab/>
      </w:r>
      <w:r>
        <w:br/>
      </w:r>
      <w:r w:rsidR="00000000" w:rsidRPr="00000000" w:rsidDel="00000000">
        <w:rPr>
          <w:rtl w:val="0"/>
        </w:rPr>
        <w:t xml:space="preserve">11.2. zvejas kuģi, uz kuriem attiecas Eiropas Savienības un nacionālajos normatīvajos aktos noteiktie dzinēja jaudas ierobežojumi;</w:t>
      </w:r>
      <w:r>
        <w:tab/>
      </w:r>
      <w:r>
        <w:br/>
      </w:r>
      <w:r>
        <w:tab/>
      </w:r>
      <w:r>
        <w:br/>
      </w:r>
      <w:r w:rsidR="00000000" w:rsidRPr="00000000" w:rsidDel="00000000">
        <w:rPr>
          <w:rtl w:val="0"/>
        </w:rPr>
        <w:t xml:space="preserve">11.3. zvejas kuģi, kuru dzinēja jaudas (kW) attiecība pret kuģa tilpību (GT) ir par 50 procentiem zemāka nekā vidējā attiecība, kas raksturīga tā paša tipa zvejas kuģiem, zvejas rīku tipam un zvejas mērķsugām.</w:t>
      </w:r>
      <w:r>
        <w:tab/>
      </w:r>
      <w:r>
        <w:br/>
      </w:r>
      <w:r>
        <w:tab/>
      </w:r>
      <w:r>
        <w:br/>
      </w:r>
      <w:r w:rsidR="00000000" w:rsidRPr="00000000" w:rsidDel="00000000">
        <w:rPr>
          <w:rtl w:val="0"/>
        </w:rPr>
        <w:t xml:space="preserve">12. Veicot šā plāna 10.punktā minēto izvērtēšanu, zvejas floti iedala pēc viena vai vairākiem šādiem kritērijiem (zvejas flotes segmentiem vai pārvaldības vienībām, kas noteiktas tiesību aktos):</w:t>
      </w:r>
      <w:r>
        <w:tab/>
      </w:r>
      <w:r>
        <w:br/>
      </w:r>
      <w:r>
        <w:tab/>
      </w:r>
      <w:r>
        <w:br/>
      </w:r>
      <w:r w:rsidR="00000000" w:rsidRPr="00000000" w:rsidDel="00000000">
        <w:rPr>
          <w:rtl w:val="0"/>
        </w:rPr>
        <w:t xml:space="preserve">12.1. kuģu garuma kategorijas;</w:t>
      </w:r>
      <w:r>
        <w:tab/>
      </w:r>
      <w:r>
        <w:br/>
      </w:r>
      <w:r>
        <w:tab/>
      </w:r>
      <w:r>
        <w:br/>
      </w:r>
      <w:r w:rsidR="00000000" w:rsidRPr="00000000" w:rsidDel="00000000">
        <w:rPr>
          <w:rtl w:val="0"/>
        </w:rPr>
        <w:t xml:space="preserve">12.2. kuģu tilpības kategorijas;</w:t>
      </w:r>
      <w:r>
        <w:tab/>
      </w:r>
      <w:r>
        <w:br/>
      </w:r>
      <w:r>
        <w:tab/>
      </w:r>
      <w:r>
        <w:br/>
      </w:r>
      <w:r w:rsidR="00000000" w:rsidRPr="00000000" w:rsidDel="00000000">
        <w:rPr>
          <w:rtl w:val="0"/>
        </w:rPr>
        <w:t xml:space="preserve">12.3. izmantotie zvejas rīki;</w:t>
      </w:r>
      <w:r>
        <w:tab/>
      </w:r>
      <w:r>
        <w:br/>
      </w:r>
      <w:r>
        <w:tab/>
      </w:r>
      <w:r>
        <w:br/>
      </w:r>
      <w:r w:rsidR="00000000" w:rsidRPr="00000000" w:rsidDel="00000000">
        <w:rPr>
          <w:rtl w:val="0"/>
        </w:rPr>
        <w:t xml:space="preserve">12.3. zvejas mērķsugas.</w:t>
      </w:r>
      <w:r>
        <w:tab/>
      </w:r>
      <w:r>
        <w:br/>
      </w:r>
      <w:r>
        <w:tab/>
      </w:r>
      <w:r>
        <w:br/>
      </w:r>
      <w:r w:rsidR="00000000" w:rsidRPr="00000000" w:rsidDel="00000000">
        <w:rPr>
          <w:rtl w:val="0"/>
        </w:rPr>
        <w:t xml:space="preserve">13. No katras zvejas kuģu grupas, kas atbilst vienam vai vairākiem šā plāna 11.punktā minētajiem riska kritērijiem, Valsts vides dienests pēc nejaušības principa atlasa zvejas kuģus (turpmāk – paraugkuģis). Paraugkuģu skaits ir vienāds ar attiecīgajai grupai piederošo zvejas kuģu skaita kvadrātsakni, kas noapaļota līdz tuvākajam veselajam skaitlim.</w:t>
      </w:r>
      <w:r>
        <w:tab/>
      </w:r>
      <w:r>
        <w:br/>
      </w:r>
      <w:r>
        <w:tab/>
      </w:r>
      <w:r>
        <w:br/>
      </w:r>
      <w:r w:rsidR="00000000" w:rsidRPr="00000000" w:rsidDel="00000000">
        <w:rPr>
          <w:rtl w:val="0"/>
        </w:rPr>
        <w:t xml:space="preserve">14. Atbilstoši šā plāna 13.punktam atlasīto paraugkuģu pārbaudē Valsts vides dienests izmanto:</w:t>
      </w:r>
      <w:r>
        <w:tab/>
      </w:r>
      <w:r>
        <w:br/>
      </w:r>
      <w:r>
        <w:tab/>
      </w:r>
      <w:r>
        <w:br/>
      </w:r>
      <w:r w:rsidR="00000000" w:rsidRPr="00000000" w:rsidDel="00000000">
        <w:rPr>
          <w:rtl w:val="0"/>
        </w:rPr>
        <w:t xml:space="preserve">14.1. kuģu satelītnovērošanas sistēmas reģistrus;</w:t>
      </w:r>
      <w:r>
        <w:tab/>
      </w:r>
      <w:r>
        <w:br/>
      </w:r>
      <w:r>
        <w:tab/>
      </w:r>
      <w:r>
        <w:br/>
      </w:r>
      <w:r w:rsidR="00000000" w:rsidRPr="00000000" w:rsidDel="00000000">
        <w:rPr>
          <w:rtl w:val="0"/>
        </w:rPr>
        <w:t xml:space="preserve">14.2. zvejas žurnālu;</w:t>
      </w:r>
      <w:r>
        <w:tab/>
      </w:r>
      <w:r>
        <w:br/>
      </w:r>
      <w:r>
        <w:tab/>
      </w:r>
      <w:r>
        <w:br/>
      </w:r>
      <w:r w:rsidR="00000000" w:rsidRPr="00000000" w:rsidDel="00000000">
        <w:rPr>
          <w:rtl w:val="0"/>
        </w:rPr>
        <w:t xml:space="preserve">14.3. starptautisko dzinēju radītā gaisa piesārņojuma novēršanas sertifikātu (</w:t>
      </w:r>
      <w:r w:rsidR="00000000" w:rsidRPr="00000000" w:rsidDel="00000000">
        <w:rPr>
          <w:i w:val="1"/>
          <w:rtl w:val="0"/>
        </w:rPr>
        <w:t xml:space="preserve">Engine International Air Pollution Prevention – EIAPP</w:t>
      </w:r>
      <w:r w:rsidR="00000000" w:rsidRPr="00000000" w:rsidDel="00000000">
        <w:rPr>
          <w:rtl w:val="0"/>
        </w:rPr>
        <w:t xml:space="preserve">);</w:t>
      </w:r>
      <w:r>
        <w:tab/>
      </w:r>
      <w:r>
        <w:br/>
      </w:r>
      <w:r>
        <w:tab/>
      </w:r>
      <w:r>
        <w:br/>
      </w:r>
      <w:r w:rsidR="00000000" w:rsidRPr="00000000" w:rsidDel="00000000">
        <w:rPr>
          <w:rtl w:val="0"/>
        </w:rPr>
        <w:t xml:space="preserve">14.4. klases sertifikātu, ko izdevusi organizācija, kura pilnvarota veikt kuģu inspekciju un apsekojumu;</w:t>
      </w:r>
      <w:r>
        <w:tab/>
      </w:r>
      <w:r>
        <w:br/>
      </w:r>
      <w:r>
        <w:tab/>
      </w:r>
      <w:r>
        <w:br/>
      </w:r>
      <w:r w:rsidR="00000000" w:rsidRPr="00000000" w:rsidDel="00000000">
        <w:rPr>
          <w:rtl w:val="0"/>
        </w:rPr>
        <w:t xml:space="preserve">14.5. sertifikātu par kuģa izmēģinājumu jūrā;</w:t>
      </w:r>
      <w:r>
        <w:tab/>
      </w:r>
      <w:r>
        <w:br/>
      </w:r>
      <w:r>
        <w:tab/>
      </w:r>
      <w:r>
        <w:br/>
      </w:r>
      <w:r w:rsidR="00000000" w:rsidRPr="00000000" w:rsidDel="00000000">
        <w:rPr>
          <w:rtl w:val="0"/>
        </w:rPr>
        <w:t xml:space="preserve">14.6. Eiropas Kopienas zvejas flotes reģistru;</w:t>
      </w:r>
      <w:r>
        <w:tab/>
      </w:r>
      <w:r>
        <w:br/>
      </w:r>
      <w:r>
        <w:tab/>
      </w:r>
      <w:r>
        <w:br/>
      </w:r>
      <w:r w:rsidR="00000000" w:rsidRPr="00000000" w:rsidDel="00000000">
        <w:rPr>
          <w:rtl w:val="0"/>
        </w:rPr>
        <w:t xml:space="preserve">14.7. izgatavotāja katalogā norādīto dzinēja specifikāciju, ja tā ir pieejama;</w:t>
      </w:r>
      <w:r>
        <w:tab/>
      </w:r>
      <w:r>
        <w:br/>
      </w:r>
      <w:r>
        <w:tab/>
      </w:r>
      <w:r>
        <w:br/>
      </w:r>
      <w:r w:rsidR="00000000" w:rsidRPr="00000000" w:rsidDel="00000000">
        <w:rPr>
          <w:rtl w:val="0"/>
        </w:rPr>
        <w:t xml:space="preserve">14.8. citus dokumentus, kas sniedz attiecīgu informāciju par kuģa dzinēja jaudu vai ar to saistītiem tehniskajiem parametriem.</w:t>
      </w:r>
      <w:r>
        <w:tab/>
      </w:r>
      <w:r>
        <w:br/>
      </w:r>
      <w:r>
        <w:tab/>
      </w:r>
      <w:r>
        <w:br/>
      </w:r>
      <w:r w:rsidR="00000000" w:rsidRPr="00000000" w:rsidDel="00000000">
        <w:rPr>
          <w:rtl w:val="0"/>
        </w:rPr>
        <w:t xml:space="preserve">15. Ja pazīmes, kas noteiktas, veicot dokumentāro verifikāciju saskaņā ar šā plāna 14.punktu, liecina, ka zvejas kuģa dzinēja jauda ir lielāka, nekā norādīts zvejas licencē, Valsts vides dienests iesniedz Latvijas Jūras akadēmijai pieprasījumu veikt attiecīgā kuģa dzinēja jaudas fizisko pārbaudi.</w:t>
      </w:r>
      <w:r>
        <w:tab/>
      </w:r>
      <w:r>
        <w:br/>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III. Fiziskā pārbaude</w:t>
      </w:r>
    </w:p>
    <w:p w:rsidP="00000000" w:rsidRDefault="00000000" w:rsidR="00000000" w:rsidRPr="00000000" w:rsidDel="00000000">
      <w:pPr>
        <w:contextualSpacing w:val="0"/>
        <w:spacing w:lineRule="auto" w:line="240"/>
        <w:pBdr/>
      </w:pPr>
      <w:r w:rsidR="00000000" w:rsidRPr="00000000" w:rsidDel="00000000">
        <w:rPr>
          <w:rtl w:val="0"/>
        </w:rPr>
        <w:t xml:space="preserve"/>
      </w:r>
      <w:r>
        <w:tab/>
      </w:r>
      <w:r>
        <w:br/>
      </w:r>
      <w:r>
        <w:tab/>
      </w:r>
      <w:r>
        <w:br/>
      </w:r>
      <w:r w:rsidR="00000000" w:rsidRPr="00000000" w:rsidDel="00000000">
        <w:rPr>
          <w:rtl w:val="0"/>
        </w:rPr>
        <w:t xml:space="preserve">16. Attiecīgā kuģa dzinēja jaudas fizisko pārbaudi Latvijas Jūras akadēmija vai cita kompetentā iestāde vai uzņēmums veic triju mēnešu laikā pēc šā plāna 15.punktā minētā pieprasījuma saņemšanas.</w:t>
      </w:r>
      <w:r>
        <w:tab/>
      </w:r>
      <w:r>
        <w:br/>
      </w:r>
      <w:r>
        <w:tab/>
      </w:r>
      <w:r>
        <w:br/>
      </w:r>
      <w:r w:rsidR="00000000" w:rsidRPr="00000000" w:rsidDel="00000000">
        <w:rPr>
          <w:rtl w:val="0"/>
        </w:rPr>
        <w:t xml:space="preserve">17. Ja vienlaikus pieprasīta vairāku zvejas kuģu dzinēja jaudas fiziskā pārbaude, prioritāri pārbauda tralerus, kas darbojas zvejniecībā, uz kuru attiecas zvejas piepūles režīms.</w:t>
      </w:r>
      <w:r>
        <w:tab/>
      </w:r>
      <w:r>
        <w:br/>
      </w:r>
      <w:r>
        <w:tab/>
      </w:r>
      <w:r>
        <w:br/>
      </w:r>
      <w:r w:rsidR="00000000" w:rsidRPr="00000000" w:rsidDel="00000000">
        <w:rPr>
          <w:rtl w:val="0"/>
        </w:rPr>
        <w:t xml:space="preserve">18. Veicot galvenā dzinēja jaudas fizisko pārbaudi, galvenā dzinēja jaudu mēra vispieejamākajā punktā starp dzenskrūvi un dzinēju.</w:t>
      </w:r>
      <w:r>
        <w:tab/>
      </w:r>
      <w:r>
        <w:br/>
      </w:r>
      <w:r>
        <w:tab/>
      </w:r>
      <w:r>
        <w:br/>
      </w:r>
      <w:r w:rsidR="00000000" w:rsidRPr="00000000" w:rsidDel="00000000">
        <w:rPr>
          <w:rtl w:val="0"/>
        </w:rPr>
        <w:t xml:space="preserve">19. Ja galvenā dzinēja jaudu mēra aiz reduktora, mērījumu atbilstoši koriģē, lai aprēķinātu galvenā dzinēja jaudu pie dzinēja jaudas noņēmēja atloka. Veicot minēto korekciju, ņem vērā pārnesumkārbas radītos jaudas zudumus, pamatojoties uz pārnesumkārbas ražotāja sniegtajiem oficiālajiem tehniskajiem datiem.</w:t>
      </w:r>
      <w:r>
        <w:tab/>
      </w:r>
      <w:r>
        <w:br/>
      </w:r>
      <w:r>
        <w:tab/>
      </w:r>
      <w:r>
        <w:br/>
      </w:r>
      <w:r w:rsidR="00000000" w:rsidRPr="00000000" w:rsidDel="00000000">
        <w:rPr>
          <w:rtl w:val="0"/>
        </w:rPr>
        <w:t xml:space="preserve">20. Divu nedēļu laikā pēc attiecīgā kuģa dzinēja jaudas fiziskās pārbaudes Latvijas Jūras akadēmija vai cita kompetentā iestāde vai uzņēmums par to sniedz Valsts vides dienestam rakstisku atzinumu. Atzinumā norāda:</w:t>
      </w:r>
      <w:r>
        <w:tab/>
      </w:r>
      <w:r>
        <w:br/>
      </w:r>
      <w:r>
        <w:tab/>
      </w:r>
      <w:r>
        <w:br/>
      </w:r>
      <w:r w:rsidR="00000000" w:rsidRPr="00000000" w:rsidDel="00000000">
        <w:rPr>
          <w:rtl w:val="0"/>
        </w:rPr>
        <w:t xml:space="preserve">20.1. pārbaudītā kuģa nosaukumu;</w:t>
      </w:r>
      <w:r>
        <w:tab/>
      </w:r>
      <w:r>
        <w:br/>
      </w:r>
      <w:r>
        <w:tab/>
      </w:r>
      <w:r>
        <w:br/>
      </w:r>
      <w:r w:rsidR="00000000" w:rsidRPr="00000000" w:rsidDel="00000000">
        <w:rPr>
          <w:rtl w:val="0"/>
        </w:rPr>
        <w:t xml:space="preserve">20.2. pārbaudes laiku;</w:t>
      </w:r>
      <w:r>
        <w:tab/>
      </w:r>
      <w:r>
        <w:br/>
      </w:r>
      <w:r>
        <w:tab/>
      </w:r>
      <w:r>
        <w:br/>
      </w:r>
      <w:r w:rsidR="00000000" w:rsidRPr="00000000" w:rsidDel="00000000">
        <w:rPr>
          <w:rtl w:val="0"/>
        </w:rPr>
        <w:t xml:space="preserve">20.3. pārbaudes vietu;</w:t>
      </w:r>
      <w:r>
        <w:tab/>
      </w:r>
      <w:r>
        <w:br/>
      </w:r>
      <w:r>
        <w:tab/>
      </w:r>
      <w:r>
        <w:br/>
      </w:r>
      <w:r w:rsidR="00000000" w:rsidRPr="00000000" w:rsidDel="00000000">
        <w:rPr>
          <w:rtl w:val="0"/>
        </w:rPr>
        <w:t xml:space="preserve">20.4. dzinēja veidu;</w:t>
      </w:r>
      <w:r>
        <w:tab/>
      </w:r>
      <w:r>
        <w:br/>
      </w:r>
      <w:r>
        <w:tab/>
      </w:r>
      <w:r>
        <w:br/>
      </w:r>
      <w:r w:rsidR="00000000" w:rsidRPr="00000000" w:rsidDel="00000000">
        <w:rPr>
          <w:rtl w:val="0"/>
        </w:rPr>
        <w:t xml:space="preserve">20.5. dzinēja identifikācijas numuru;</w:t>
      </w:r>
      <w:r>
        <w:tab/>
      </w:r>
      <w:r>
        <w:br/>
      </w:r>
      <w:r>
        <w:tab/>
      </w:r>
      <w:r>
        <w:br/>
      </w:r>
      <w:r w:rsidR="00000000" w:rsidRPr="00000000" w:rsidDel="00000000">
        <w:rPr>
          <w:rtl w:val="0"/>
        </w:rPr>
        <w:t xml:space="preserve">20.6. kuģa dokumentos norādīto dzinēja jaudu;</w:t>
      </w:r>
      <w:r>
        <w:tab/>
      </w:r>
      <w:r>
        <w:br/>
      </w:r>
      <w:r>
        <w:tab/>
      </w:r>
      <w:r>
        <w:br/>
      </w:r>
      <w:r w:rsidR="00000000" w:rsidRPr="00000000" w:rsidDel="00000000">
        <w:rPr>
          <w:rtl w:val="0"/>
        </w:rPr>
        <w:t xml:space="preserve">20.7. pārbaudē izmantoto metodi;</w:t>
      </w:r>
      <w:r>
        <w:tab/>
      </w:r>
      <w:r>
        <w:br/>
      </w:r>
      <w:r>
        <w:tab/>
      </w:r>
      <w:r>
        <w:br/>
      </w:r>
      <w:r w:rsidR="00000000" w:rsidRPr="00000000" w:rsidDel="00000000">
        <w:rPr>
          <w:rtl w:val="0"/>
        </w:rPr>
        <w:t xml:space="preserve">20.8. pārbaudes gaitā konstatēto dzinēja jaudu;</w:t>
      </w:r>
      <w:r>
        <w:tab/>
      </w:r>
      <w:r>
        <w:br/>
      </w:r>
      <w:r>
        <w:tab/>
      </w:r>
      <w:r>
        <w:br/>
      </w:r>
      <w:r w:rsidR="00000000" w:rsidRPr="00000000" w:rsidDel="00000000">
        <w:rPr>
          <w:rtl w:val="0"/>
        </w:rPr>
        <w:t xml:space="preserve">20.9. tās atbildīgās personas vārdu, amatu un parakstu, kas veica pārbaudi;</w:t>
      </w:r>
      <w:r>
        <w:tab/>
      </w:r>
      <w:r>
        <w:br/>
      </w:r>
      <w:r>
        <w:tab/>
      </w:r>
      <w:r>
        <w:br/>
      </w:r>
      <w:r w:rsidR="00000000" w:rsidRPr="00000000" w:rsidDel="00000000">
        <w:rPr>
          <w:rtl w:val="0"/>
        </w:rPr>
        <w:t xml:space="preserve">20.10. atsauci uz Valsts vides dienesta pieprasījumu;</w:t>
      </w:r>
      <w:r>
        <w:tab/>
      </w:r>
      <w:r>
        <w:br/>
      </w:r>
      <w:r>
        <w:tab/>
      </w:r>
      <w:r>
        <w:br/>
      </w:r>
      <w:r w:rsidR="00000000" w:rsidRPr="00000000" w:rsidDel="00000000">
        <w:rPr>
          <w:rtl w:val="0"/>
        </w:rPr>
        <w:t xml:space="preserve">20.11. atzinuma numuru un sagatavošanas datumu.</w:t>
      </w:r>
      <w:r>
        <w:tab/>
      </w:r>
      <w:r>
        <w:br/>
      </w:r>
      <w:r>
        <w:tab/>
      </w:r>
      <w:r>
        <w:br/>
      </w:r>
      <w:r w:rsidR="00000000" w:rsidRPr="00000000" w:rsidDel="00000000">
        <w:rPr>
          <w:rtl w:val="0"/>
        </w:rPr>
        <w:t xml:space="preserve">21. Ja Latvijas Jūras akadēmija vai cita kompetentā iestāde vai uzņēmums konstatē lielāku galvenā dzinēja jaudu, nekā norādīts dokumentos, Valsts vides dienests ir tiesīgs kuģa īpašniekam piemērot administratīvo sodu par zvejas noteikumu pārkāpšanu un pieprasīt atmaksāt izdevumus par kuģa dzinēja jaudas fizisko pārbaudi.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22-TA-129</w:t>
    </w:r>
    <w:r>
      <w:br/>
    </w:r>
    <w:r w:rsidR="00000000" w:rsidRPr="00000000" w:rsidDel="00000000">
      <w:rPr>
        <w:rtl w:val="0"/>
      </w:rPr>
      <w:t xml:space="preserve">Izdrukāts 29.07.2026. 23.09 - 3.0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22-TA-129</w:t>
    </w:r>
    <w:r>
      <w:br/>
    </w:r>
    <w:r w:rsidR="00000000" w:rsidRPr="00000000" w:rsidDel="00000000">
      <w:rPr>
        <w:rtl w:val="0"/>
      </w:rPr>
      <w:t xml:space="preserve">Izdrukāts 29.07.2026. 23.09 - 3.0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noteikumu_konsolidētā_versija_p10_22-TA-129.docx</dc:title>
</cp:coreProperties>
</file>

<file path=docProps/custom.xml><?xml version="1.0" encoding="utf-8"?>
<Properties xmlns="http://schemas.openxmlformats.org/officeDocument/2006/custom-properties" xmlns:vt="http://schemas.openxmlformats.org/officeDocument/2006/docPropsVTypes"/>
</file>