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2.2. reformu un investīciju virziena "Uzņēmumu digitālā transformācija un inovācijas" 2.2.1.5.i. investīcijas "Mediju nozares uzņēmumu digitālās transformācijas veicināšana" pasākuma "Mācības mediju nozares speciālistu digitālās kompetences un zināšanu pilnveidošanai"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2.2. reformu un investīciju virziena "Uzņēmumu digitālā transformācija un inovācijas" 2.2.1.5.i. investīcijas "Mediju nozares uzņēmumu digitālās transformācijas veicināšana" (turpmāk – investīcija) pasākuma "Mācības mediju nozares speciālistu digitālās kompetences un zināšanu pilnveidošanai"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pasākumam 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pasākuma ieviešanā iesaistītās institūcijas, to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pasākuma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projekta iesniedzējam un sadarbības partnerim un investīcijas pasākuma ieviešanas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 iesniegšanas, vērtēšanas un līguma par projekta īstenošanu slēgšanas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piešķiršanu saistītus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pasākuma mērķis ir veicināt mediju nozares speciālistu digitālo kompetenci un medijpratību, vienlaikus veicinot vietējā mediju satura veidotāju ilgtspēju, saglabājot plurālistisku mediju tirgu un stiprinot noturību pret dezinformāciju.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pasākuma ietvaros finansējuma saņēmēji tiek atlasīti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pasākuma mērķa grupa ir Latvijas mediju nozares asociācijas un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pasākuma ietvaros sasniedzami šādi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mērķrādītājs – līdz 2026. gada 30. jūnijam noslēgts viens līgums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rādītājs – līdz 2026. gada 30. jūnijam noslēgti līgumi ar gala labuma guvējiem par apmācībām digitālās kompetences un zināšanu pilnveidošanai ar vismaz 10 dažādiem mediju nozares saimnieciskās darbības veicējiem, aptverot vismaz 100 mediju nozares 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kas saņem atbalstu digitālo produktu, pakalpojumu un lietojumprogrammu izstrādei vai ieviešanai;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uzņēmumi (tai skaitā mazie (mikro) uzņēmumi, vidējie uzņēmumi un lielie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vai apmācības dalībnieku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pasākuma noteiktais mērķrādītājs uzskatāms par izpildītu, kad Centrālajā finanšu un līgumu aģentūrā (turpmāk – aģentūra) iesniegti noslēgtie līgumi ar gala labuma guvējiem par apmācībām digitālās kompetences un zināšanu pilnveidošanai ar vismaz 10 dažādiem mediju uzņēmumiem, aptverot vismaz 100 mediju nozares speciālistus.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pasākumam pieejamais Atveseļošanas fonda finansējums ir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investīcijas pasākuma ieviešanu atbildīgā nozares ministrija ir Kultūras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pasākumu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Atveseļošanas fonda finansējumu investīcijas pasākuma ietvaros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Atveseļošanas fonda atbalsta intensitāte ir 100 procenti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Pievienotās vērtības nodoklis nav attiecināms finansēšanai no Atveseļošanas fonda līdzekļiem. Pievienotās vērtības nodokļa izmaksas sedz finansējuma saņēmējs vai sadarbības partneris, vai gala labuma guvējs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Atveseļošanas fonda izdevumu attiecināmības termiņš ir no dienas, kad noslēgts līgums par projekta īstenošanu, līdz 2026.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Atbalstāmo darbību un izmaksu attiecināmība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ietvaros atbalstāmas darbības, kas sekmē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minētā investīcijas pasākuma mērķa un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rādītāju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augsta līmeņa digitālo prasmju apguvei nepieciešamo kompetenču paaugstināšana un saistīto pasākumu, tai skaitā diskusiju, darba grupu, konsultāciju, semināru, pieredzes apmaiņas, organizēšana un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mediju uzņēmumu biznesa modeļu uzlabošana, efektivizējot procesus un samazinot izmaksas digitālās transformācijas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komunikācijas tehnoloģiju (iekārtas, programmatūra, licence) un to risinājumu izstrāde, iegāde, atjaunošana vai modernizēšana mācību procesa īstenošanai, gala labuma guvēju jaunu digitālo produktu izstrādei un konkurētspējas paaugstināšanai;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guvēju atlases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pasākuma projekta vadība un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pasākumu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gala labuma guvēju darbības efektivizēšanai nepieciešamo digitālās attīstības plānu izstrāde.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pasākuma ietvaros ar projekta īstenošanu saistītas šādas finansējuma saņēmēja un sadarbības partnera 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guvēju darbības efektivizēšanai nepieciešamo digitālās attīstības plānu izstrādes, izvērtējumu sagatavošanas un konsultāciju 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līmeņa digitālo prasmju apguvei nepieciešamo kompetences paaugstināšanas pasākumu organizēšanas un īstenošanas izmaksas, tai skaitā telpu un darba vietas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komunikācijas tehnoloģiju (iekārtas, programmatūra, licence) un to risinājumu izstrādes, iegādes, atjaunošanas un modernizēšanas izmaksas mācību procesa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guvēju digitālajai attīstībai un projekta mērķu sasniegšanai (saskaņā ar gala labuma guvēja digitālās attīstības plānu) nepieciešamo finansējuma saņēmēja noteikto auditorijas pētījumu risinājumu, informācijas un komunikācijas tehnoloģiju (iekārtas, programmatūra, licence) izstrādes, iegādes, atjaunošanas un modernizēšanas izmaksas. Šajā apakšpunktā minētās izmaksas var segt arī pats gala labuma guvējs;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pasākuma projekta vadības personāla izmaksas, nepārsniedzot 10 procentus no kopējām projekta izmaksām, un projekta īstenošanas personāla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projekta darbībām tieši saistīto publicitātes un vizuālās identitātes pasākumu izmaksas, nepārsniedzot vienu procentu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15.4.</w:t>
      </w:r>
      <w:r w:rsidR="00000000" w:rsidRPr="00000000" w:rsidDel="00000000">
        <w:rPr>
          <w:rtl w:val="0"/>
        </w:rPr>
        <w:t xml:space="preserve"> apakšpunktā</w:t>
      </w:r>
      <w:r w:rsidR="00000000" w:rsidRPr="00000000" w:rsidDel="00000000">
        <w:rPr>
          <w:rtl w:val="0"/>
        </w:rPr>
        <w:t xml:space="preserve"> minētais atbalsts vienam gala labuma guvējam nepārsniedz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Investīcijas pasākuma ietvaros radušās izmaksas ir attiecināmas, ja tās atbilst šajos noteikumos minētajām izmaksu pozīcijām, tās ir tieši saistītas ar projekta ietvaros veiktajām darbībām, samērīgas, pamatotas ar izdevumus apliecinošiem dokumentiem, kā arī ir ievēroti saimnieciskuma, lietderības un efektivitātes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projekta īstenošanas laikā sadārdzinās projekta plānotās attiecināmās izmaksas, finansējuma saņēmējs papildu izmaksas sedz no saviem līdzekļiem. Ja atbalsts tiek piešķirts kā komercdarbības atbalsts, projekta īstenošanas gaitā radušās sadārdzinājuma izmaksas finansējuma saņēmējs sedz no saviem līdzekļiem, kas brīvi no jebkāda komercdarbības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saņēmējs nodrošina, lai vienas un tās pašas darbības netiktu finansētas dubultā.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projekta iesniedzējam un sadarbības partnerim un investīcijas pasākuma ieviešanas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16.07.2024. noteikumu Nr. 475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projekta īstenošanai var piesaistīt sadarbības partneri. Projekta iesniedzējs un sadarbības partneris ir juridiska persona vai juridisku personu apvienība, kas katra atsevišķi vismaz divus gadus pirms projekta iesniegšanas ir reģistrēta Latvijas Republikas Uzņēmumu reģistrā vai Izglītības iestāžu reģistrā. Projekta iesniedzējs pats vai kopā ar sadarbības partneri var apliecināt vismaz divu gadu pieredzi šādās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medijpratība;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mentorings, konsultēšana.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sagatavo projekta iesniegumu saskaņā ar projektu iesniegumu atlases nolikumu un iesniedz to Kohēzijas politikas fondu vadības informācijas sistēmā paziņojumā par projektu iesniegumu atlases izsludināšanu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iesniedzējs izstrādā un projekta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kompetenču centra darbības stratēģiju gala labuma guvēju augsta līmeņa digitālo prasmju pilnveidošanai un konkurētspējas paaugstināšanai;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projekta iesniedzējs ir izveidojis iekšējās kontroles sistēmu korupcijas un interešu konflikta riska novēršanai;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procedūras aprakstu, kā tiks īstenota atklāta gala labuma guvēju atlase;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līguma projektu ar sadarbības partneri (ja attiecināms), nosakot finansējuma saņēmēja un sadarbības partnera pienākumu un izmaksu sadalījumu.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un sadarbības partneris (ja attiecināms) projekta iesniegumam pievieno </w:t>
      </w:r>
      <w:r w:rsidR="00000000" w:rsidRPr="00000000" w:rsidDel="00000000">
        <w:rPr>
          <w:i w:val="1"/>
          <w:rtl w:val="0"/>
        </w:rPr>
        <w:t xml:space="preserve">de minimis</w:t>
      </w:r>
      <w:r w:rsidR="00000000" w:rsidRPr="00000000" w:rsidDel="00000000">
        <w:rPr>
          <w:rtl w:val="0"/>
        </w:rPr>
        <w:t xml:space="preserve"> atbalsta uzskaites sistēmā sagatavotās veidlapas "Veidlapa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izdruku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projekta iesniegumā un projekta iesniegumam pievienotajā kompetenču centra darbības stratēģijā paredz gala labuma guvēju augsta līmeņa digitālo prasmju pilnveidošanu un konkurētspējas paaugstināšanu vismaz 10 dažādiem mediju uzņēmumiem, aptverot vismaz 100 mediju nozares speciālistus.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iesniegumu iesniegšanas, vērtēšanas un līguma par projekta īstenošanu slēgšanas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izsludina projektu iesniegumu atlasi, publicējot oficiālajā izdevumā "Latvijas Vēstnesis" un tīmekļvietnē www.cfla.gov.lv paziņojumu par atklātas projektu iesniegumu atlases izsludināšanu, pagarināšanu, pārtraukšanu vai izbeigšanu. Projektu iesniegumu iesniegšanai nosaka termiņu, kas nav īsāks par trim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iesniegumu, kurš iesniegts pēc projektu iesniegumu iesniegšanas beigu datuma, nevērtē. Aģentūra par to informē projekta iesniedzēju.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Projektu iesniegumu vērtēšanai aģentūra ar rīkojumu izveido projektu iesniegumu vērtēšanas komisiju, kurā piesaista Kultūras ministrijas deleģētus ekspertus. Vērtēšanas komisija darbam komisijā bez balsstiesībām pieaicina vismaz vienu ekspertu mediju nozares un digitālās kompetences un zināšanu pilnveidošanas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saskaņā ar šādiem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kritērijiem. Ja projektu iesniegumu vērtēšanas komisija konstatē, ka uz projekta iesniedzēju vai sadarbības partneri (ja attiecināms) ir attiecināms vismaz viens no izslēgšanas kritērijiem, turpmāko projekta iesnieguma vērtēšanu neveic;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kritērijiem, kas ietver projektu vispārīgos un specifiskos atbilstības kritērijus. Projektu iesniegumus atbilstoši šiem kritērijiem vērtē, lai gūtu pārliecību, ka projekta iesniegums atbilst nepieciešamajiem nosacījumiem, lai kvalificētos atbalstam investīcijas pasākuma ietvaros (tai skaitā ir ievērotas principa "Nenodarīt būtisku kaitējumu"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iesniegumus, kas katrā kvalitātes kritērijā ieguvuši vismaz minimālo punktu skaitu, sarindo pēc iegūtā kopējā punktu skaita un priekšroku dod projekta iesniegumam ar lielāko kopējo punktu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kopējais punktu skaits ir vienāds, priekšroku dod projekta iesniegumam, kuram lielāks punktu skaits piešķirts par šo noteikumu pielikuma 4.5. apakšpunktā minētā kvalitātes kritērija izpildi. Ja arī par šo kvalitātes kritēriju piešķirts vienāds punktu skaits, priekšroku dod projekta iesniegumam, kuram lielāks punktu skaits piešķirts par šo noteikumu pielikuma 4.6. apakšpunktā minētā kvalitātes kritērija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atbilstoši Administratīvā procesa likuma 64. panta nosacījumiem par projekta iesnieguma apstiprināšanu, apstiprināšanu ar nosacījumu vai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Lēmumu par projekta iesnieguma apstiprināšanu pieņem, ja ir izpildīti visi šie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un sadarbības partneri nav attiecināms neviens no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iesniegums katrā kvalitātes kritērijā ir ieguvis vismaz minimālo punktu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pasākuma ietvaros ir pieejams finansējums projekta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Ja kāds no lēmumā par projekta iesnieguma apstiprināšanu ar nosacījumu noteiktajiem nosacījumiem netiek izpildīts vai netiek izpildīts lēmumā par projekta iesnieguma apstiprināšanu ar nosacījumu noteiktajā termiņā, projekta iesniegumu noraida. Ja minētie nosacījumi tiek izpildīti, aģentūra izdod atzinumu par lēmumā noteikto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noraidīšanu pieņem, ja ir spēkā vismaz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vismaz viens no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iesniedzējs neatbilst neprecizējamam vispārīgajam atbilstības kritērijam vai neprecizējamam specifiskajam atbilstības kritērijam;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iesniegums nav saņēmis minimālo punktu skaitu kādā no kvalitātes kritērijiem vai kopējo minimālo punktu skaitu kvalitātes kritērijos;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pasākuma ietvaros nav pieejams finansējums projekta īstenošanai vai projekta iesniedzējs atsakās projektu īstenot ar samazinātu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iesniedzēji pēc aģentūras lēmuma par projekta iesnieguma apstiprināšanu spēkā stāšanās kļūst par finansējuma saņēmējiem.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Aģentūras lēmumu par projekta iesnieguma apstiprināšanu, apstiprināšanu ar nosacījumu vai noraidīšanu mēneša laikā var apstrīdēt Finanšu ministrijā. Finanšu ministrijas izdoto administratīvo aktu var pārsūdzēt Administratīvā procesa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Līgumā par projekta īstenošanu paredz vismaz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maksājuma pieprasījumu grafika iesniegšanas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plāna iesniegšanas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avansa, starpposma un noslēguma maksājuma pieprasījumu iesniegšanas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iesniedz dokumentus, kas apliecina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rādītāja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šo noteikumu </w:t>
      </w:r>
      <w:r w:rsidR="00000000" w:rsidRPr="00000000" w:rsidDel="00000000">
        <w:rPr>
          <w:rtl w:val="0"/>
        </w:rPr>
        <w:t xml:space="preserve">43.7.</w:t>
      </w:r>
      <w:r w:rsidR="00000000" w:rsidRPr="00000000" w:rsidDel="00000000">
        <w:rPr>
          <w:rtl w:val="0"/>
        </w:rPr>
        <w:t xml:space="preserve"> apakšpunktā</w:t>
      </w:r>
      <w:r w:rsidR="00000000" w:rsidRPr="00000000" w:rsidDel="00000000">
        <w:rPr>
          <w:rtl w:val="0"/>
        </w:rPr>
        <w:t xml:space="preserve"> minētos projekta datus ievada Kohēzijas politikas fondu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aģentūra var vienpusēji atkāpties no līguma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Investīcijas pasākuma ietvaros projektu var īstenot līdz 2026.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tam kad noslēgts līgums par projekta īstenošanu, aģentūra nodrošina finansējuma saņēmējam maksājumus, ievērojot šādu maksājumu pieprasīšanas un izmaksāšanas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avansa maksājumu var saņemt, ja ir atvēris kontu Valsts kasē vai darījumu kontu Latvijas Republikā reģistrētā kredītiestādē vai ja Eiropas Savienībā reģistrēta kredītiestāde ir izsniegusi bankas garantiju par labu aģentūrai, iesniedzot aģentūrai pieprasījumu avansa maksājumam un pamatojot avansa maksājuma apmēru, vienlaikus nodrošinot, ka tas nepārsniedz 30 procentus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var saņemt vairākus avansa maksājumus. Nākamo avansu var saņemt pēc tam, kad iepriekšējais avanss ir ieguldīts pilnā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var iesniegt pieprasījumu starpposma maksājumam ne retāk kā reizi sešos mēnešos.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veicot avansa un starpposma maksājumus, nodrošina, ka finansējuma saņēmējam veikto avansa un starpposma maksājumu kopsumma nepārsniedz 90 procentus no projekta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finansējuma saņēmējam izmaksājamo avansa summu apstiprina vai noraida, pamatojoties uz sasniedzamajiem mērķiem, maksājuma lietderību un finanšu drošību, ievērojot normatīvo aktu prasības maksājumu un darījumu apliecinošo dokumentu izstrādāšanas un noformēšanas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Noslēguma maksājuma saņemšanai finansējuma saņēmējs iesniedz noslēguma maksājuma apmēra pamatojumu, kurā norāda informāciju par projekta mērķu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Kultūras ministrijas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sabiedrībai informāciju par investīcijas pasākuma ieviešanas progresu un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Atveseļošanas fonda plāna īstenošanas progresa pusgada ziņojuma un maksājuma pieprasījuma sagatavošanai saskaņā ar normatīvajiem aktiem par Eiropas Savienības Atveseļošanas un noturības mehānisma plāna īstenošanas un uzraudzības kārtību sniegt informāciju Kohēzijas politikas fondu vadības informācijas sistēmā par investīcijas pasākuma īstenošanas progresu, ņemot vērā aģentūras ievadīto informāciju Kohēzijas politikas fondu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Investīcijas pasākuma ietvaros aģentūra atbilstoši normatīvajiem aktiem, kas nosaka Atveseļošanas fonda plāna īstenošanas un uzraudzības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izmaksu atbilstību šiem noteikumiem un noslēgtajiem līgumiem par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par investīcijas pasākuma sasniedzamā mērķa un rādītāju izpildi pēc finansējuma saņēmēju iesniegtās informācijas Kohēzijas politikas fondu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saņēmēju līmenī izlases veidā nodrošina korupcijas, krāpšanas, interešu konflikta novēršanas principu pārbaudes saskaņā ar Eiropas Parlamenta un Padomes 2024. gada 23. septembra Regulas (ES, Euratom) 2024/2509 par finanšu noteikumiem, ko piemēro Savienības vispārējam budžetam (pārstrādāta redakcija) (turpmāk – regula Nr. 2024/2509), 61. pantu, kā arī dubultfinansējuma riska novēršanas un sasniegto mērķu pamatojošās dokumentācijas pārbaudes izlases veidā, tai skaitā datu ticamības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projektu iesniegumu vērtēšanas komisiju un izvērtē projektu iesniedzēju iesniegtos projektu iesniegumus atbilstoši projektu iesniegumu vērtēšanas kritērijiem un šo noteikumu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noslēdz līgumus par projekta īstenošanu ar finansējuma saņēmējiem.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rīkot atklātu gala labuma guvēju atlasi un izstrādāt gala labuma guvēju atlases nosacījumus, kas nosaka interešu konflikta riska izvērtēšanas un korupcijas jautājumu uzraudzības kārtību un rīcību, ja tiek konstatēts interešu konflikts vai dubultā finansējuma risks;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atklātu, objektīvu un taisnīgu gala labuma guvēju atlasi, nodrošināt vienlīdzīgu sacensību starp gala labuma guvējiem;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vērtējot gala labuma guvējus, pārliecināties, ka tie atbilst visiem šo noteikumu nosacījumiem, un pārbaudīt gala labuma guvējus atbilstoši regulas Nr. 2024/2509 136. pantā minētajiem izslēgšanas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izstrādāt katram gala labuma guvējam digitālās attīstības plānu un uzraudzīt, lai gala labuma guvējs sasniedz digitālās attīstības plānā paredzētos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slēgt rakstveida līgumu ar katru gala labuma guvēju par pušu pienākumiem, tiesībām un atbildību digitālās attīstības plāna mērķa un rādītāju sasniegšanā;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tam kad noslēgts līgums par projekta īstenošanu, iesniegt iepirkuma plānu un plānoto maksājuma pieprasījumu grafiku Kohēzijas politikas fondu vadības informācijas sistēmā un, ja nepieciešams, tos aktualizēt;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ievadi Kohēzijas politikas fondu vadības informācijas sistēmā maksājuma pieprasījuma informācijas sagatavošanai ne retāk kā divas reizes gadā, iekļaujot izdevumu un sasniegto rādītāju pamatojošos dokumentus. Pēdējo maksājuma pieprasījumu iesniedz Kohēzijas politikas fondu vadības informācijas sistēmā līdz 2026. gada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Eiropas Komisijas un Latvijas Republikas Atveseļošanas un noturības mehānisma īstenošanas un uzraudzības iestādēm piekļuvi ar projekta īstenošanu saistītajai informācijai un uzrādīt to Eiropas Komisijas un Latvijas Republikas Atveseļošanas un noturības mehānisma finansēšanas nolīgumā un normatīvajos aktos, kas nosaka Atveseļošanas fonda plāna īstenošanas un uzraudzības kārtību, minētajām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atsevišķu projekta izdevumu grāmatvedības uzskaiti saskaņā ar normatīvo aktu prasībām grāmatvedības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iepirkumu, kas nepieciešams projekta īstenošanai, veikt saskaņā ar normatīvajiem aktiem publisko iepirkumu jomā, īstenojot atklātu, pārredzamu, nediskriminējošu un konkurenci nodrošinošu konkursa procedūru. Atbalstāma ir vides prasību integrācija preču un pakalpojumu iepirkumos, kā arī vides pieejamības un izmantojamības nodrošināšana – zaļais publiskais iepirkums, inovāciju iepirkums un sociāli atbildīgs iepirkums;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nodrošināt informācijas un publicitātes pasākumus saskaņā ar regulas Nr. 2021/241 34. panta 2. punktu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uzkrāt dalībnieku datus par projektā sasniegto šo noteikumu </w:t>
      </w:r>
      <w:r w:rsidR="00000000" w:rsidRPr="00000000" w:rsidDel="00000000">
        <w:rPr>
          <w:rtl w:val="0"/>
        </w:rPr>
        <w:t xml:space="preserve">5.3.3.</w:t>
      </w:r>
      <w:r w:rsidR="00000000" w:rsidRPr="00000000" w:rsidDel="00000000">
        <w:rPr>
          <w:rtl w:val="0"/>
        </w:rPr>
        <w:t xml:space="preserve"> apakšpunktā</w:t>
      </w:r>
      <w:r w:rsidR="00000000" w:rsidRPr="00000000" w:rsidDel="00000000">
        <w:rPr>
          <w:rtl w:val="0"/>
        </w:rPr>
        <w:t xml:space="preserve"> minēto kopējo rādītāja vērtību;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datu uzkrāšanu par horizontālā principa "Vienlīdzība, iekļaušana, nediskriminācija un pamattiesību ievērošana" rādītāju "Objektu skaits, kuros Atveseļošanas fonda ieguldījumu rezultātā ir nodrošināta vides un informācijas pieejamība"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ka projekts un atbalstāmās darbības tiek īstenotas saskaņā ar regulas Nr. 2021/241 2. panta 6. punktu, ievērojot principu "Nenodarīt būtisku kaitējumu";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ka projekta īstenošanas dokumenti, tai skaitā atzinumi, kas pamato noteikto rādītāju sasniegšanu, tiek glabāti visu projekta īstenošanas laiku un piecus gadus pēc pēdējā maksājuma dalībvalstij vai līdz 2031.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 projekta iesnieguma iesniegšanai izstrādāt iekšējās kontroles sistēmu korupcijas un krāpšanas novēršanas nosacījumu ievērošanai, kā arī interešu konflikta un dubultā finansējuma riska novēršanai, ietverot tajā: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(preventīvus pasākumus un pasākumus, lai konstatētu interešu konflikta risku, tai skaitā paziņošanas procedūru un labošanas pasākumus), iekļaujot informāciju par interešu konflikta novēršanu saskaņā ar regulas Nr. 2024/2509 61. pantu;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iekļaujot pasākumus, lai nodrošinātu ziņotāja anonimitāti un aizsardzību;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aizliegto vienošanos riska kontrolei;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dubultā finansējuma novēršanas mehānismu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partnera un gala labuma guvēja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interešu konflikta, korupcijas, krāpšanas un dubultfinansējuma nepieļaušanu projekta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kas nepieciešams projekta īstenošanai, veikt saskaņā ar normatīvajiem aktiem publisko iepirkumu jomā, īstenojot atklātu, pārredzamu, nediskriminējošu un konkurenci nodrošinošu konkursa procedūru. Atbalstāma ir vides prasību integrācija preču un pakalpojumu iepirkumos, kā arī vides pieejamības un izmantojamības nodrošināšana – zaļais publiskais iepirkums, inovāciju iepirkums un sociāli atbildīgs iepirkums.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Aģentūrai investīcijas pasākuma ietvaros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pasākuma mērķa vai noteikto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par projekta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komercdarbības atbalsta piešķiršanu saistītie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Projekta iesniedzējam un tā sadarbības partnerim (turpmāk – </w:t>
      </w:r>
      <w:r w:rsidR="00000000" w:rsidRPr="00000000" w:rsidDel="00000000">
        <w:rPr>
          <w:i w:val="1"/>
          <w:rtl w:val="0"/>
        </w:rPr>
        <w:t xml:space="preserve">de minimis</w:t>
      </w:r>
      <w:r w:rsidR="00000000" w:rsidRPr="00000000" w:rsidDel="00000000">
        <w:rPr>
          <w:rtl w:val="0"/>
        </w:rPr>
        <w:t xml:space="preserve"> atbalsta saņēmējs)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apakšpunktā</w:t>
      </w:r>
      <w:r w:rsidR="00000000" w:rsidRPr="00000000" w:rsidDel="00000000">
        <w:rPr>
          <w:rtl w:val="0"/>
        </w:rPr>
        <w:t xml:space="preserve"> minētajām izmaksām aģentūra piešķir līdzfinansējumu kā </w:t>
      </w:r>
      <w:r w:rsidR="00000000" w:rsidRPr="00000000" w:rsidDel="00000000">
        <w:rPr>
          <w:i w:val="1"/>
          <w:rtl w:val="0"/>
        </w:rPr>
        <w:t xml:space="preserve">de minimis</w:t>
      </w:r>
      <w:r w:rsidR="00000000" w:rsidRPr="00000000" w:rsidDel="00000000">
        <w:rPr>
          <w:rtl w:val="0"/>
        </w:rPr>
        <w:t xml:space="preserve"> atbalstu, ievērojot Eiropas Komisijas 2023. gada 13. decembra Regulas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15.4.</w:t>
      </w:r>
      <w:r w:rsidR="00000000" w:rsidRPr="00000000" w:rsidDel="00000000">
        <w:rPr>
          <w:rtl w:val="0"/>
        </w:rPr>
        <w:t xml:space="preserve"> apakšpunktā</w:t>
      </w:r>
      <w:r w:rsidR="00000000" w:rsidRPr="00000000" w:rsidDel="00000000">
        <w:rPr>
          <w:rtl w:val="0"/>
        </w:rPr>
        <w:t xml:space="preserve"> minēto izmaksu segšanai nav uzskatāms par komercdarbības atbalstu finansējuma saņēmējam, sadarbības partnerim un gala labuma guvējam, ja finansējuma saņēmējs vai sadarbības partneris, vai gala labuma guvējs nodrošina finansējuma saņēmēja noteikto auditorijas pētījumu risinājumu, informācijas un komunikācijas tehnoloģiju (iekārtas, programmatūra, licence) izstrādi, iegādi, atjaunošanu un modernizēšanu, piemērojot šo noteikumu </w:t>
      </w:r>
      <w:r w:rsidR="00000000" w:rsidRPr="00000000" w:rsidDel="00000000">
        <w:rPr>
          <w:rtl w:val="0"/>
        </w:rPr>
        <w:t xml:space="preserve">43.10.</w:t>
      </w:r>
      <w:r w:rsidR="00000000" w:rsidRPr="00000000" w:rsidDel="00000000">
        <w:rPr>
          <w:rtl w:val="0"/>
        </w:rPr>
        <w:t xml:space="preserve"> vai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procedūru. Šo noteikumu </w:t>
      </w:r>
      <w:r w:rsidR="00000000" w:rsidRPr="00000000" w:rsidDel="00000000">
        <w:rPr>
          <w:rtl w:val="0"/>
        </w:rPr>
        <w:t xml:space="preserve">15.4.</w:t>
      </w:r>
      <w:r w:rsidR="00000000" w:rsidRPr="00000000" w:rsidDel="00000000">
        <w:rPr>
          <w:rtl w:val="0"/>
        </w:rPr>
        <w:t xml:space="preserve"> apakšpunktā</w:t>
      </w:r>
      <w:r w:rsidR="00000000" w:rsidRPr="00000000" w:rsidDel="00000000">
        <w:rPr>
          <w:rtl w:val="0"/>
        </w:rPr>
        <w:t xml:space="preserve"> plānotās darbības rezultātā iegūtais produkts vai pakalpojums būs galalietotāju īpašumā un nepaliks finansējuma saņēmēja vai tā sadarbības partnera rīcībā atkārtotai izmantošanai.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Aģentūra veic atbalsta pretendenta izvērtēšanu atbilstoši Komisijas regulas Nr. 2023/2831 nosacījumiem uz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uzskata par piešķirtu ar dienu, kad aģentūra pieņēmusi lēmumu par līdzfinansējuma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aģentūra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Komisijas regulas Nr. 2023/2831 2. panta 2.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2023/2831 piešķir, ievērojot Komisijas regulas Nr. 2023/2831 1. panta 1. punktā minētos nozaru un darbību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atbalsta pretendents vienlaikus darbojas vienā vai vairākās Komisijas regulas Nr. 2023/2831 1. panta 1. punkta "a", "b", "c" un "d" apakšpunktā minētajās nozarēs, atbalstu drīkst piešķirt tikai tad, ja atbalsta pretendents nodrošina šo nozaru darbību vai uzskaites nodalīšanu, lai saskaņā ar Komisijas regulas Nr. 2023/2831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2023/2831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nodrošinātu kumulācijas prasību ievērošanu, ja par vienām un tām pašām projekta attiecināmajām izmaksām tiek piešķirts atbalsts vairāku komercdarbības atbalsta programmu ietvaros, atbalsta saņēmējs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Aģentūra kā atbalsta sniedzējs uzglabā visus ar </w:t>
      </w:r>
      <w:r w:rsidR="00000000" w:rsidRPr="00000000" w:rsidDel="00000000">
        <w:rPr>
          <w:i w:val="1"/>
          <w:rtl w:val="0"/>
        </w:rPr>
        <w:t xml:space="preserve">de minimis</w:t>
      </w:r>
      <w:r w:rsidR="00000000" w:rsidRPr="00000000" w:rsidDel="00000000">
        <w:rPr>
          <w:rtl w:val="0"/>
        </w:rPr>
        <w:t xml:space="preserve"> atbalsta piešķiršanu saistītos datus 10 gadus, sākot no dienas, kad saskaņā ar šiem noteikumiem piešķirts pēdējais </w:t>
      </w:r>
      <w:r w:rsidR="00000000" w:rsidRPr="00000000" w:rsidDel="00000000">
        <w:rPr>
          <w:i w:val="1"/>
          <w:rtl w:val="0"/>
        </w:rPr>
        <w:t xml:space="preserve">de minimis</w:t>
      </w:r>
      <w:r w:rsidR="00000000" w:rsidRPr="00000000" w:rsidDel="00000000">
        <w:rPr>
          <w:rtl w:val="0"/>
        </w:rPr>
        <w:t xml:space="preserve"> atbalsts, savukārt </w:t>
      </w:r>
      <w:r w:rsidR="00000000" w:rsidRPr="00000000" w:rsidDel="00000000">
        <w:rPr>
          <w:i w:val="1"/>
          <w:rtl w:val="0"/>
        </w:rPr>
        <w:t xml:space="preserve">de minimis</w:t>
      </w:r>
      <w:r w:rsidR="00000000" w:rsidRPr="00000000" w:rsidDel="00000000">
        <w:rPr>
          <w:rtl w:val="0"/>
        </w:rPr>
        <w:t xml:space="preserve"> atbalsta saņēmējs uzglabā visus ar </w:t>
      </w:r>
      <w:r w:rsidR="00000000" w:rsidRPr="00000000" w:rsidDel="00000000">
        <w:rPr>
          <w:i w:val="1"/>
          <w:rtl w:val="0"/>
        </w:rPr>
        <w:t xml:space="preserve">de minimis</w:t>
      </w:r>
      <w:r w:rsidR="00000000" w:rsidRPr="00000000" w:rsidDel="00000000">
        <w:rPr>
          <w:rtl w:val="0"/>
        </w:rPr>
        <w:t xml:space="preserve"> atbalsta piešķiršanu saistītos datus 10 gadus no </w:t>
      </w:r>
      <w:r w:rsidR="00000000" w:rsidRPr="00000000" w:rsidDel="00000000">
        <w:rPr>
          <w:i w:val="1"/>
          <w:rtl w:val="0"/>
        </w:rPr>
        <w:t xml:space="preserve">de minimis</w:t>
      </w:r>
      <w:r w:rsidR="00000000" w:rsidRPr="00000000" w:rsidDel="00000000">
        <w:rPr>
          <w:rtl w:val="0"/>
        </w:rPr>
        <w:t xml:space="preserve">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piešķiršana un uzskaite tiek veikta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tiek pārkāpti Komisijas regulas Nr. 2023/2831 nosacījumi, </w:t>
      </w:r>
      <w:r w:rsidR="00000000" w:rsidRPr="00000000" w:rsidDel="00000000">
        <w:rPr>
          <w:i w:val="1"/>
          <w:rtl w:val="0"/>
        </w:rPr>
        <w:t xml:space="preserve">de minimis</w:t>
      </w:r>
      <w:r w:rsidR="00000000" w:rsidRPr="00000000" w:rsidDel="00000000">
        <w:rPr>
          <w:rtl w:val="0"/>
        </w:rPr>
        <w:t xml:space="preserve"> atbalsta saņēmējam ir pienākums atmaksāt aģentūrai šo noteikumu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šo noteikumu ietvaros var pieņemt līdz Komisijas regulas Nr. 2023/2831 7. panta 3. punktā un 8. pantā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25-TA-279</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25-TA-279</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noteikumu_konsolidētā_versija_25-TA-279.docx</dc:title>
</cp:coreProperties>
</file>

<file path=docProps/custom.xml><?xml version="1.0" encoding="utf-8"?>
<Properties xmlns="http://schemas.openxmlformats.org/officeDocument/2006/custom-properties" xmlns:vt="http://schemas.openxmlformats.org/officeDocument/2006/docPropsVTypes"/>
</file>