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5. novembrī (prot. Nr. 46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20.00.00 "Veselības aprūpes pasākumu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2025. gadam un budžeta ietvaru 2025., 2026. un 2027. gadam'' 70. pantam atbalstīt apropriācijas pārdali 2025. gadam 127 000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veselības nozares pasākumu īstenošanai uz Veselības ministrijas budžeta apakšprogrammu 45.01.00 "Veselības aprūpes finansējuma administrēšana un ekonomiskā novērtēšana", lai nodrošinātu e-nosūtījumu funkcionalitātes pilnveidošanu un uzturēšanu.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25-TA-2479</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25-TA-2479</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rīkojuma_projekts_25-TA-2479.docx</dc:title>
</cp:coreProperties>
</file>

<file path=docProps/custom.xml><?xml version="1.0" encoding="utf-8"?>
<Properties xmlns="http://schemas.openxmlformats.org/officeDocument/2006/custom-properties" xmlns:vt="http://schemas.openxmlformats.org/officeDocument/2006/docPropsVTypes"/>
</file>