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investīcijām aizsardzības jomas prioritāro objektu attīstībā privātās – publiskās partnerības ietvarā"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atbilstoši Ministru kabineta (turpmāk – MK) 2025. gada 13. maija sēdes protokola Nr. 19 50. paragrāfa 2.3. punktā norādītajam uzdevumam, Aizsardzības ministrija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sagatavojusi potenciālo privātās – publiskās partnerības (turpmāk – PPP) projektu sarakstu  prioritārā secībā;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pieņēmusi lēmumus par objektiem un šajā informatīvajā ziņojumā ir identificējusi objektus, par kuriem būtu virzāms lēmums par finanšu un ekonomisko aprēķinu veikšanu saskaņā ar Publiskās un privātās partnerības likuma 14. panta trešās daļas 1. 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ministram līdz 2025. gada 26. septembrim pieņemt lēmumu par informatīvajā ziņojumā norādīto prioritārāko objektu - poligona “Sēlija” dzīvojamās, administrācijas un satiksmes infrastruktūras un noliktavu Nīkrācē – būvniecības finanšu un ekonomisko aprēķinu veikšanu saskaņā ar Publiskās un privātās partnerības likuma 14. pantu.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Valsts pārvaldes iekārtas likuma 45. panta pirmo daļu un Nacionālo bruņoto spēku likuma 4. </w:t>
      </w:r>
      <w:r w:rsidR="00000000" w:rsidRPr="00000000" w:rsidDel="00000000">
        <w:rPr>
          <w:vertAlign w:val="superscript"/>
          <w:rtl w:val="0"/>
        </w:rPr>
        <w:t xml:space="preserve">1</w:t>
      </w:r>
      <w:r w:rsidR="00000000" w:rsidRPr="00000000" w:rsidDel="00000000">
        <w:rPr>
          <w:rtl w:val="0"/>
        </w:rPr>
        <w:t xml:space="preserve"> panta piekto daļu un 18. pantā piekto daļu Ministru kabinets deleģē  valsts akciju sabiedrībai “Valsts nekustamie īpašumi” poligona “Sēlija” dzīvojamās, administrācijas un satiksmes infrastruktūras un munīcijas noliktavu Nīkrācē izveidi PPP ietvarā, uzdodot Aizsardzības ministrijai līdz 2025. gada 30. septembrim nodrošināt deleģēšanas līguma noslēgšanu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organizēšanu un nodrošināšanu PPP ietvarā līdz 2030. 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privāto partneri noslēgtā līguma izpildes kontroli un ar projektu saistīto jautājumu  līdz 2060. gadam administrēšanu.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plānotais aptuvenais finanšu apmērs valsts akciju sabiedrības “Valsts nekustamie īpašumi” pakalpojumu izmaksu segšanai sadalījumā pa gadiem: 2026. gadā - 0,46 mlj. euro, 2027. gadā – 0,76 mlj. euro, 2028. gadā – 0,79 mlj. euro, 2029. gadā – 0,93 mlj. euro, 2030. gadā – 0,93 mlj. euro, savukārt, sākot no 2031. gada līdz 2060. gadam 1,08 mlj. euro, katru pieejamības perioda gadu aptuveni 35,9 tūkst. euro, kurus Aizsardzības ministrija segs no Aizsardzības ministrijas valsts budžeta programmas 33.00.00 “Aizsardzības īpašumu pārvaldīšana”.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pieejamības maksājumi tiks segti no Aizsardzības ministrijas valsts budžeta programmas 33.00.00 “Aizsardzības īpašumu pārvaldīšana”.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Uzdot valsts akciju sabiedrībai “Valsts nekustamie īpašumi”: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2025. gada 30. septembrim vienoties ar Eiropas Investīciju banku par konsultāciju pakalpojumu nodrošināšanu poligona “Sēlija” dzīvojamās, administrācijas un satiksmes infrastruktūras un noliktavu Nīkrācē  būvniecības organizēšanai PPP ietvarā;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augustam nodrošināt finanšu un ekonomisko aprēķinu un projekta pamatojošās dokumentācijas sagatavošanu saskaņā ar Ministru kabineta 2009. gada 6. oktobra noteikumiem Nr.1152 “Kārtība finanšu un ekonomisko aprēķinu veikšanai, publiskās un privātās partnerības līguma veida noteikšanai un atzinuma par finanšu un ekonomiskajiem aprēķiniem sniegšanai”, lai pamatotu publiskās un privātās partnerības modeļa izmantošanas investīciju periodā lietderīgumu.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Aizsardzības ministrijai no šī informatīvā ziņojuma izskatīšanas dienas sešu mēnešu laikā sniegt MK informāciju par nekustamā īpašuma atsavināšanas un būvatļauju anulēšanas progresu poligona “Sēlija” teritorijā un plānotajā noliktavu būvniecības vietā Nīkrācē.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abu infrastruktūras objektu finansēšanai līdz šī informatīvā ziņojuma izskatīšanai ieplānotie finanšu resursi tiks novirzīti citu prioritāru aizsardzības vajadzību finansēšanai.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25-TA-2051</w:t>
    </w:r>
    <w:r>
      <w:br/>
    </w:r>
    <w:r w:rsidR="00000000" w:rsidRPr="00000000" w:rsidDel="00000000">
      <w:rPr>
        <w:rtl w:val="0"/>
      </w:rPr>
      <w:t xml:space="preserve">Izdrukāts 29.07.2026. 22.53 - 3.0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mk_sēdes_protokollēmuma_projekts_25-TA-2051.docx</dc:title>
</cp:coreProperties>
</file>

<file path=docProps/custom.xml><?xml version="1.0" encoding="utf-8"?>
<Properties xmlns="http://schemas.openxmlformats.org/officeDocument/2006/custom-properties" xmlns:vt="http://schemas.openxmlformats.org/officeDocument/2006/docPropsVTypes"/>
</file>