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5. septembra noteikumos Nr. 537 "Noteikumi par portfeļgarantijām sīko (mikro), mazo un vidējo saimnieciskās darbības veicēju – juridisko personu – kreditēšanas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un</w:t>
      </w:r>
      <w:r>
        <w:br/>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5. septembra noteikumos Nr. 537 "Noteikumi par portfeļgarantijām sīko (mikro), mazo un vidējo saimnieciskās darbības veicēju – juridisko personu – kreditēšanas veicināšanai" (Latvijas Vēstnesis, 2017, 180. nr.; 2018, 49. nr.; 2020, 60A., 74A., 248. nr.; 2021, 77., 130. nr.; 2022, 53. nr.; 2023, 173. nr.; 2024, 118.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finanšu pakalpojums – finansētāja izsniegti aizdevumi investīciju veikšanai un apgrozāmo līdzekļu finansēšanai, finanšu līzings, banku garantijas;".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Garantiju sniedz kā </w:t>
      </w:r>
      <w:r w:rsidR="00000000" w:rsidRPr="00000000" w:rsidDel="00000000">
        <w:rPr>
          <w:i w:val="1"/>
          <w:rtl w:val="0"/>
        </w:rPr>
        <w:t xml:space="preserve">de minimis</w:t>
      </w:r>
      <w:r w:rsidR="00000000" w:rsidRPr="00000000" w:rsidDel="00000000">
        <w:rPr>
          <w:rtl w:val="0"/>
        </w:rPr>
        <w:t xml:space="preserve"> atbalstu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un Komisijas Regula 2013.gada 18.decembra Regulu (ES) Nr. 1408/2013 par Līguma par Eiropas Savienības darbību 107. un 108. panta piemērošanu de minimis atbalstam lauksaimniecības nozarē (turpmāk – Komisijas regula Nr.  1408/2013)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banku garantiju (tai skaitā konkursa, avansa maksājuma, maksājuma izpildes vai laika garantiju), banku garantiju limitiem vai kredītvēstuli."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vienam saimnieciskās darbības veicējam garantēto finanšu pakalpojumu summa nepārsniedz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šo noteikumu 9.1. un 9.3. apakšpunktā minēto finanšu pakalpojumu termiņš ir no 12 mēnešiem līdz 10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 šo noteikumu 9.2. un 9.4. apakšpunktā minēto finanšu pakalpojumu termiņš ir līdz 5 gadiem;</w:t>
      </w:r>
      <w:r w:rsidR="00000000" w:rsidRPr="00000000" w:rsidDel="00000000">
        <w:rPr>
          <w:i w:val="1"/>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10.7.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Par garantijas izsniegšanu, tostarp pagarinot iepriekš izsniegtās garantijas termiņu, piemēro vienreizēju garantijas prēmiju no garantijas segtās finanšu pakalpojumu summas saskaņā ar ALTUM cenrādi.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finanšu pakalpojuma refinansēšanai, izņemot, ja tiek refinansēts sabiedrības "Altum" aizdevums, ievērojot visas piemērojamās komercdarbības atbalsta regulējuma normas. Aizdevuma refinansēšanai izmanto šo noteikumu 5. punktā minēto finansējuma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13.3.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ieroču un munīcijas tirdzniecībai (NACE 2.1 redakcijas grupa 47.63 "Sporta aprīkojuma mazumtirdzniecība" un klase 47.92 "Specializetas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"13.8. tabakas izstrādājumu ražošanai un tirdzniecībai (NACE 2.1 redakcijas 12. nodaļa "Tabakas izstrādājumu ražošana", klase 46.35 "Tabakas izstrādājumu vairumtirdzniecība", klase 47.26 "Tabakas izstrādājumu mazumtirdzniecība specializētajos veikalos" un klase 47.92 "Specializetas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alkohola tirdzniecībai (NACE 2.1 redakcijas grupa 46.34 "Dzērienu vairumtirdzniecība" un grupa 47.25 "Alkoholisko un citu dzērienu mazumtirdzniecība specializētajos veikalos" un klase 47.92 "Specializetas mazumtirdzniecības starpniecības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13.10.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"13.10. azartspēlēm un derībām (NACE 2.1 redakcijas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 Komisijas regulas Nr. 2023/2831 1. panta 1. punkta "a", "b", "c" un "d" apakšpunktā noteiktajās nozarēs vai minētā punkta "e" un "f" apakšpunktā noteiktās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saimnieciskās darbības veicējs darbojas Komisijas regulas Nr. 2023/2831 1. panta 1. punkta "a", "b", "c" un "d" apakšpunktā noteiktajās nozarēs vai veic minētā punkta "e" un "f" apakšpunktā noteiktās darbības, </w:t>
      </w:r>
      <w:r w:rsidR="00000000" w:rsidRPr="00000000" w:rsidDel="00000000">
        <w:rPr>
          <w:i w:val="1"/>
          <w:rtl w:val="0"/>
        </w:rPr>
        <w:t xml:space="preserve">de minimis </w:t>
      </w:r>
      <w:r w:rsidR="00000000" w:rsidRPr="00000000" w:rsidDel="00000000">
        <w:rPr>
          <w:rtl w:val="0"/>
        </w:rPr>
        <w:t xml:space="preserve">atbalstu drīkst piešķirt tikai tad, ja atbalsta pretendents nodrošina šo nozaru vai darbību nodalīšanu vai uzskaites nodalīšanu.</w:t>
      </w:r>
      <w:r w:rsidR="00000000" w:rsidRPr="00000000" w:rsidDel="00000000">
        <w:rPr>
          <w:i w:val="1"/>
          <w:rtl w:val="0"/>
        </w:rPr>
        <w:t xml:space="preserve"> </w:t>
      </w:r>
      <w:r w:rsidR="00000000" w:rsidRPr="00000000" w:rsidDel="00000000">
        <w:rPr>
          <w:rtl w:val="0"/>
        </w:rPr>
        <w:t xml:space="preserve"> Ja saimnieciskās darbības veicējs vienlaikus darbojas vienā vai vairākās nozarēs, kas minētas šo noteikumu 13.4., 13.5., 13.7., 13.8., 13.9., 13.10. un 13.</w:t>
      </w:r>
      <w:r w:rsidR="00000000" w:rsidRPr="00000000" w:rsidDel="00000000">
        <w:rPr>
          <w:vertAlign w:val="superscript"/>
          <w:rtl w:val="0"/>
        </w:rPr>
        <w:t xml:space="preserve">1</w:t>
      </w:r>
      <w:r w:rsidR="00000000" w:rsidRPr="00000000" w:rsidDel="00000000">
        <w:rPr>
          <w:rtl w:val="0"/>
        </w:rPr>
        <w:t xml:space="preserve">1.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finansētājs iekļauj finanšu pakalpojumus portfelī līdz trīs gadiem no līguma noslēgšanas ar sabiedrību "Altum". Sabiedrība "Altum" un finansētājs var vienoties par šā termiņa pagarināšanu, bet ne ilgāk kā par diviem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Atlases nosacījumus, tai skaitā pieteikšanās nosacījumus un kārtību, un atlases vai noraidīšanas kritērijus apstiprina sabiedrība "Altum" un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Atlases ietvaros pieejamo finansējumu sadala starp finansētājiem, kas kvalificējušies atlasē saskaņā ar atlases nosacījumiem. Ja atlases ietvaros sākotnēji nav rezervēts viss pieejamais finansējums, sabiedrība ALTUM var slēgt sadarbības līgumus arī ar citiem finansētājiem ,kas kvalificējušies atlasē saskaņā ar atlases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 24.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Sabiedrība "Altum" finansētājus vērtē, pamatojoties uz kvantitatīvajiem un kvalitatīvajiem rādītājiem, tai skaitā finanšu stabilitātes rādītājiem, kā arī uz publiski pieejamo informāciju par uzraugošo institūciju veiktajiem uzraudzības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25.2. (Svītrots)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25.3.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vai Komisijas regulas Nr. 1408/2013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Nr. 2023/2831 2. panta 2. punkta vai Komisijas regulas Nr. 1408/2013 2. panta 2. punktā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Saimnieciskās darbības veicēja subsīdijas ekvivalentu finansētājs aprēķina, ievērojot Komisijas regulas Nr. 2023/2831 vai Komisijas regulas Nr. 1408/2013 4. panta 6. punkta "b"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Ievērojot Komisijas regulas Nr. 2023/2831 vai Komisijas regulas Nr. 1408/2013 5. pantā minētos nosacījumus,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vai Komisijas regulas Nr. 1408/2013 3. panta 2. punktā noteiktajam robežlielumam, kā arī drīkst apvienot ar citu valsts atbalstu attiecībā uz vienām un tām pašām attiecināmajām izmaksām vai citu valsts atbalstu tam pašam riska finansējuma pasākumam, ja šīs apvienošanas rezultātā netiek pārsniegta attiecīgā maksimālā atbalsta intensitāte vai atbalsta summa, kāda noteikta valsts atbalsta programmā, atbalsta projektā vai Eiropas Komisijas lēmumā. Šādā gadījumā saimnieciskās darbības veicējs iesniedz sabiedrībai "Altum" visu informāciju par plānoto un piešķirto valsts atbalstu par tām pašām attiecināmajām izmaksām, norādot atbalsta piešķiršanas datumu, atbalsta sniedzēja nosaukumu, atbalsta pasākumu un plānoto vai piešķirto atbalsta summu un atbalsta intensitāti."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Ja ir pārkāpti Komisijas regulas Nr. 2023/2831 vai Komisijas regulas Nr. 1408/2013 nosacījumi, atbalsta saņēmējam ir pienākums atmaksāt finansētājam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Atbalstu saskaņā ar šiem noteikumiem sniedz līdz Komisijas regulas Nr. 2023/2831 7. panta 3. punktā un 8. pantā vai Komisijas regulas Nr. 1408/2013 7. panta 3. punktā un 8. pantā noteiktā piemērošanas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25-TA-782</w:t>
    </w:r>
    <w:r>
      <w:br/>
    </w:r>
    <w:r w:rsidR="00000000" w:rsidRPr="00000000" w:rsidDel="00000000">
      <w:rPr>
        <w:rtl w:val="0"/>
      </w:rPr>
      <w:t xml:space="preserve">Izdrukāts 29.07.2026. 23.16 - 1.0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25-TA-782</w:t>
    </w:r>
    <w:r>
      <w:br/>
    </w:r>
    <w:r w:rsidR="00000000" w:rsidRPr="00000000" w:rsidDel="00000000">
      <w:rPr>
        <w:rtl w:val="0"/>
      </w:rPr>
      <w:t xml:space="preserve">Izdrukāts 29.07.2026. 23.16 - 1.0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noteikumu_(grozījumu)_projekts_25-TA-782.docx</dc:title>
</cp:coreProperties>
</file>

<file path=docProps/custom.xml><?xml version="1.0" encoding="utf-8"?>
<Properties xmlns="http://schemas.openxmlformats.org/officeDocument/2006/custom-properties" xmlns:vt="http://schemas.openxmlformats.org/officeDocument/2006/docPropsVTypes"/>
</file>