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 2013.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 1524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Vērtēšanas kritēriji dzīvnieku darbspēju un ģenētiskās kvalitātes popularizēšanas pasākumu organizēšanai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12.01.2016. noteikumu Nr. 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89"/>
        <w:gridCol w:w="4155"/>
        <w:gridCol w:w="1856"/>
        <w:tblGridChange w:id="0">
          <w:tblGrid>
            <w:gridCol w:w="3389"/>
            <w:gridCol w:w="4155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Vērtējuma skaidrojums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Pretendenta darbības ilgums  		ciltsdarba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0 līdz 4 gadiem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Iepriekšējos piecos gados īstenoti  		starptautiskas un Latvijas nozīmes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īstenoto pasākumu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Pasākuma organizēšanā  		piesaistīti ciltsdarba jomā sertificēti nozares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piesaistīti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Pasākuma organizēšanā  		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piesaistīta nozares organizācija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Pasākuma īstenošanai  		paredzētais līdzfinansējums (procentos) no pieprasītā valsts atbalsta  		apmēra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procentu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procenti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procentu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Pasākumā plānoti  		publicitātes un 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Informāciju par pasākumu un tā rezultātiem  		plānots publicēt plašsaziņas līdzekļos, rīkot kursus, seminārus vai  		izdot informatīvus bukletus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pasākuma rezultātiem plānots informēt  		atsevišķas sabiedrības grupas, nosūtot informāciju pa pastu vai  		elektroniskā veidā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ir plānots viens publicitātes vai  		informācijas izplatīšanas pasākums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Pasākumā nav plānoti publicitātes un  		informācijas izplatīšanas pasākumi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