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2022/274, ar ko, pielāgojot zinātnes un tehnikas attīstībai, Eiropas Parlamenta un Padomes Direktīvas 2011/65/ES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2022/275, ar ko, pielāgojot zinātnes un tehnikas attīstībai, Eiropas Parlamenta un Padomes Direktīvas 2011/65/ES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2022/276 ar ko, pielāgojot tehnikas un zinātnes attīstībai, Eiropas Parlamenta un Padomes Direktīvas 2011/65/ES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2022/277, ar ko, pielāgojot tehnikas un zinātnes attīstībai, groza Eiropas Parlamenta un Padomes Direktīvas 2011/65/ES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2022/278, ar ko attiecībā uz atbrīvojumu, kurš atļauj dzīvsudrabu izmantot metālu halogenīdu spuldzēs,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2022/279, ar ko attiecībā uz atbrīvojumu, kurš atļauj dzīvsudrabu izmantot citās gāzizlādes spuldzēs īpašām vajadzībām,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2022/280, ar ko attiecībā uz atbrīvojumu, kurš atļauj dzīvsudrabu izmantot citās zemspiediena gāzizlādes spuldzēs,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2022/281, ar ko attiecībā uz atbrīvojumu, kurš atļauj dzīvsudrabu izmantot viencokola (kompaktajās) fluorescences spuldzēs īpašām vajadzībām,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2022/282, ar ko attiecībā uz atbrīvojumu, kurš atļauj dzīvsudrabu izmantot nelineārās trīsjoslu fosfora spuldzēs,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2022/283, ar ko, pielāgojot zinātnes un tehnikas attīstībai, Eiropas Parlamenta un Padomes Direktīvas 2011/65/ES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2022/284, ar ko, pielāgojot zinātnes un tehnikas attīstībai, Eiropas Parlamenta un Padomes Direktīvas 2011/65/ES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2022/287, ar ko attiecībā uz atbrīvojumu, kurš atļauj dzīvsudrabu izmantot citās fluorescences spuldzēs citādai vispārējai apgaismei un īpašām vajadzībām, groza Eiropas Parlamenta un Padomes Direktīvas 2011/65/ES III pielikumu, to pielāgojot zinātnes un tehnikas attīstībai.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22-TA-2169</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22-TA-2169</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noteikumu_konsolidētā_versija_22-TA-2169.docx</dc:title>
</cp:coreProperties>
</file>

<file path=docProps/custom.xml><?xml version="1.0" encoding="utf-8"?>
<Properties xmlns="http://schemas.openxmlformats.org/officeDocument/2006/custom-properties" xmlns:vt="http://schemas.openxmlformats.org/officeDocument/2006/docPropsVTypes"/>
</file>