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103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3. martā (prot. Nr. 11 40.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2024. gada 29. oktobra noteikumos Nr. 686 "Valsts un Eiropas Savienības atbalsta piešķiršanas kārtība Eiropas Lauksaimniecības fonda lauku attīstībai intervencē "Sadarbība pārtikas īso piegāžu ķēžu darbības veicināšanai un piedāvājuma nodrošināšanai" atklātu projektu iesniegumu konkursu veidā 2023.–2027. gada plānošanas periodam"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rsidR="00000000" w:rsidRPr="00000000" w:rsidDel="00000000">
        <w:rPr>
          <w:rStyle w:val="paragraph"/>
          <w:i w:val="1"/>
          <w:rtl w:val="0"/>
        </w:rPr>
        <w:t xml:space="preserve"> </w:t>
      </w:r>
      <w:r w:rsidR="00000000" w:rsidRPr="00000000" w:rsidDel="00000000">
        <w:rPr>
          <w:rStyle w:val="paragraph"/>
          <w:i w:val="1"/>
          <w:rtl w:val="0"/>
        </w:rPr>
        <w:t xml:space="preserve"> 5. panta</w:t>
      </w:r>
      <w:r w:rsidR="00000000" w:rsidRPr="00000000" w:rsidDel="00000000">
        <w:rPr>
          <w:rStyle w:val="paragraph"/>
          <w:i w:val="1"/>
          <w:rtl w:val="0"/>
        </w:rPr>
        <w:t xml:space="preserve">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2024. gada 29. oktobra noteikumos Nr. 686 "Valsts un Eiropas Savienības atbalsta piešķiršanas kārtība Eiropas Lauksaimniecības fonda lauku attīstībai intervencē "Sadarbība pārtikas īso piegāžu ķēžu darbības veicināšanai un piedāvājuma nodrošināšanai" atklātu projektu iesniegumu konkursu veidā 2023.–2027. gada plānošanas periodam" (Latvijas Vēstnesis, 2024, 213.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Aktivitātes "Pārtikas īso piegāžu ķēžu darbības veicināšana" mērķis ir attīstīt īsās pārtikas piegādes ķēdes, tādējādi veicinot vietējās produkcijas ilgtspējīgu patēriņu un kopīga piedāvājuma veidošanu vietējā tirgū, jo īpaši publiskās ēdināšanas pakalpojumu sniegšanai, piemēram, izglītības, sociālās aprūpes vai ārstniecības iestādēs."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Atbalsta pretendents ir sadarbības grupa, kurā efektīvi sadarbojas lauksaimnieki, lauksaimniecības produktu pārstrādātāji, kooperatīvās sabiedrības, pašvaldības, ēdināšanas pakalpojumu sniedzēji, konsultanti, vietējās rīcības grupas vai citas ieinteresētās personas. Dalībnieku izvēle ir pamatota ar projekta darbībām un mērķiem."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14.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Pašvaldības un ēdināšanas pakalpojumu sniedzēji, kuru dalība sadarbības grupā ir pamatota ar projekta darbībām un mērķiem, var iesaistīties projekta īstenošanā kā sadarbības partneri, lai organizētu un veicinātu sadarbību, bet tie projektā nesaņem atbalstu."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17.1.3.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"17.1.3. kopīgai lietošanai paredzētu jaunu pamatlīdzekļu un uzglabāšanai vai loģistikai paredzēta programmnodrošinājuma iegādes izmaksas, tai skaitā par jaunu vai mazlietotu specializēto transportlīdzekli pārtikas pārvadāšanai, ja tas nav vecāks par trim gadiem un tā vecumu var pierādīt, kā arī lauksaimniecības produktu pirmapstrādes, pārstrādes un pakošanas iekārtu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17.1.4.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"17.1.4. ēku, tehnikas, iekārtu un to aprīkojuma nomas maksa projekta īstenošanas laikā, nepārsniedzot projekta īstenošanas termiņu, ciktāl tos izmanto projekta mērķu sasniegšanai. Kopējā nomas maksa projekta īstenošanas laikā nepārsniedz 30 procentu no tehnikas, iekārtu vai to aprīkojuma tirgus vērtības, un tās apmērs ir atkarīgs no nomas perioda projektā. Intervencē nav pieļaujams nomas līgums starp viena projekta sadarbības partneriem, izņemot gadījumu, ja ēka tiek nomāta no pašvaldības, kas ir sadarbības grupas partneris;".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17.1.5.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"17.1.5. trešo personu sniegto ārējo pakalpojumu izmaksas, ja šie pakalpojumi tiek izmantoti tikai projekta mērķu sasniegšanai, tai skaitā ārējo pakalpojumu izmaksas, kas saistītas ar informācijas tehnoloģijas pakalpojumiem tikai esošo datubāzu vai tīmekļvietņu būtiskai uzlabošanai;".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20.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 Īstenojot projektu, atbalsta saņēmējs ir izveidojis īso pārtikas piegādes ķēdi, nodrošinot sadarbības grupā iesaistīto partneru saražoto produktu kopīgu realizāciju vismaz vienā no šādiem veidiem: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20.1. ir noslēgts ilgtermiņa līgums par produkcijas piegādi ēdināšanas nodrošināšanai publiskajās iestādēs, piemēram, izglītības, sociālās aprūpes vai ārstniecības iestādēs;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20.2. ir noslēgts ilgtermiņa līgums par produkcijas piegādi sabiedriskās ēdināšanas pakalpojumu sniegšanai;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20.3. kopīga produktu realizācija mazumtirdzniecībā."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25.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Biedrības un nodibinājumi, konsultanti, vietējās rīcības grupas vai citas ieinteresētās personas, kuras nav mazie ekonomikas dalībnieki, bet kuru dalība sadarbības grupā ir pamatota ar projekta darbībām un mērķiem, var iesaistīties projekta īstenošanā kā sadarbības partneri, lai organizētu un veicinātu sadarbību, bet tiešā labuma guvēji no projekta īstenošanas ir šo noteikumu 2.9. apakšpunktā minētās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27.1.3.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"27.1.3. trešo personu sniegto ārējo pakalpojumu izmaksas, ja šie pakalpojumi tiek izmantoti tikai projekta mērķu sasniegšanai, tai skaitā ārējo pakalpojumu izmaksas, kas saistītas ar informācijas tehnoloģijas pakalpojumiem tikai esošo datubāzu vai tīmekļvietņu būtiskai uzlabošanai;".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29.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 Atbalstam piemēro regulas 2022/2472 59. panta 6. punkta "c" un "e" apakšpunktā minētos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Svītrot 30.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31.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Saskaņā ar regulas 2022/2472 59. panta 12. punkta "f" apakšpunktu attiecināmas ir šo noteikumu 27.1. apakšpunktā minētās tiešās attiecināmās izmaksas un 27.2. apakšpunktā minētās netiešās attiecināmās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36.6.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"36.6. nosacījumus un kārtību, kādā sadarbības partneris tiek aizvietots ar citu līdzvērtīgu partneri vai izstājas no sadarbības grupas;".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Papildināt ar 36.7.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"36.7. kārtību, kādā sadarbības partneris pēc saistību pārtraukšanas vai negodprātīgas rīcības gadījumā atmaksā atbalstu vadošajam partnerim."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Papildināt ar 37.10.</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"37.10.</w:t>
      </w:r>
      <w:r w:rsidR="00000000" w:rsidRPr="00000000" w:rsidDel="00000000">
        <w:rPr>
          <w:vertAlign w:val="superscript"/>
          <w:rtl w:val="0"/>
        </w:rPr>
        <w:t xml:space="preserve">1</w:t>
      </w:r>
      <w:r w:rsidR="00000000" w:rsidRPr="00000000" w:rsidDel="00000000">
        <w:rPr>
          <w:rtl w:val="0"/>
        </w:rPr>
        <w:t xml:space="preserve"> izmaksas, kas saistītas ar pakalpojumu sniegšanu starp viena projekta sadarbības grupas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Papildināt ar 37.10.</w:t>
      </w:r>
      <w:r w:rsidR="00000000" w:rsidRPr="00000000" w:rsidDel="00000000">
        <w:rPr>
          <w:vertAlign w:val="superscript"/>
          <w:rtl w:val="0"/>
        </w:rPr>
        <w:t xml:space="preserve">2</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"37.10.</w:t>
      </w:r>
      <w:r w:rsidR="00000000" w:rsidRPr="00000000" w:rsidDel="00000000">
        <w:rPr>
          <w:vertAlign w:val="superscript"/>
          <w:rtl w:val="0"/>
        </w:rPr>
        <w:t xml:space="preserve">2</w:t>
      </w:r>
      <w:r w:rsidR="00000000" w:rsidRPr="00000000" w:rsidDel="00000000">
        <w:rPr>
          <w:rtl w:val="0"/>
        </w:rPr>
        <w:t xml:space="preserve"> jaunas datubāzes un tīmekļvietnes izstrādes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Papildināt ar 38.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 Ja sadarbības grupa šo noteikumu 16. punktā minētajā gadījumā kļūst par komercsabiedrību vai par kooperatīvo sabiedrību, tā ir uzskatāma par vienu sadarbības grupas partneri un par nākamo projektu kādā no intervences aktivitātēm izpilda šo noteikumu 14. vai 24. punktā minētos atbalsta saņemšanas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Papildināt ar 38.</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2</w:t>
      </w:r>
      <w:r w:rsidR="00000000" w:rsidRPr="00000000" w:rsidDel="00000000">
        <w:rPr>
          <w:rtl w:val="0"/>
        </w:rPr>
        <w:t xml:space="preserve"> Sadarbības grupa uzskatāma par jaunu atbalsta saņēmēju, ja sadarbības grupas partneru skaits mainās par vairāk nekā 70 procentiem, šajā skaitā neietverot konsultantus, vietējās rīcības grupas un pašvaldības."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39.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 Aktivitātē "Pārtikas īso piegāžu ķēžu darbības veicināšana", ja projekta mērķis ir saistīts ar kopīga piedāvājuma veidošanu publiskās ēdināšanas pakalpojumu sniegšanai, viena sadarbības projekta kopējā attiecināmo izmaksu summa nepārsniedz 500 000 </w:t>
      </w:r>
      <w:r w:rsidR="00000000" w:rsidRPr="00000000" w:rsidDel="00000000">
        <w:rPr>
          <w:i w:val="1"/>
          <w:rtl w:val="0"/>
        </w:rPr>
        <w:t xml:space="preserve">euro</w:t>
      </w:r>
      <w:r w:rsidR="00000000" w:rsidRPr="00000000" w:rsidDel="00000000">
        <w:rPr>
          <w:rtl w:val="0"/>
        </w:rPr>
        <w:t xml:space="preserve">. Ja, īstenojot projektu, ir plānoti citi produktu realizācijas veidi, viena projekta kopējā attiecināmo izmaksu summa nepārsniedz 200 000 </w:t>
      </w:r>
      <w:r w:rsidR="00000000" w:rsidRPr="00000000" w:rsidDel="00000000">
        <w:rPr>
          <w:i w:val="1"/>
          <w:rtl w:val="0"/>
        </w:rPr>
        <w:t xml:space="preserve">euro</w:t>
      </w:r>
      <w:r w:rsidR="00000000" w:rsidRPr="00000000" w:rsidDel="00000000">
        <w:rPr>
          <w:rtl w:val="0"/>
        </w:rPr>
        <w:t xml:space="preserve">. Ja projektā ir paredzēta atpazīstamības veidošana, kopējā attiecināmo šādu izmaksu summa nepārsniedz 45 000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Izteikt 41.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Plānošanas periodā viena sadarbības grupa var iesniegt vairākus projektus par jaunām aktivitātēm vai darbībām, ja tās ir savstarpēji papildinošas, nevienā no intervences aktivitātēm nepieļaujot plānoto darbību un investīciju savstarpēju pārklāšanos un skaidri nodalot plānotās darbības."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Izteikt 42.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 Atbalsta intensitāte ir 65 procenti no attiecināmajām izmaksām, bet atpazīstamības veidošanas pasākumiem – 80 procentu no attiecināmajām izmaksām, tostarp šo noteikumu 17.1.6., 27.1.2., 27.1.3., 27.1.4. un 27.1.6. apakšpunktā minētajām izmaksām, kas saistītas ar produktu atpazīstamības veidošanu, un 100 procentu personāla atlīdzības un netiešajām attiecināmajām izmaksām."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25-TA-2776</w:t>
    </w:r>
    <w:r>
      <w:br/>
    </w:r>
    <w:r w:rsidR="00000000" w:rsidRPr="00000000" w:rsidDel="00000000">
      <w:rPr>
        <w:rtl w:val="0"/>
      </w:rPr>
      <w:t xml:space="preserve">Izdrukāts 29.07.2026. 22.54 - 1.0.VK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25-TA-2776</w:t>
    </w:r>
    <w:r>
      <w:br/>
    </w:r>
    <w:r w:rsidR="00000000" w:rsidRPr="00000000" w:rsidDel="00000000">
      <w:rPr>
        <w:rtl w:val="0"/>
      </w:rPr>
      <w:t xml:space="preserve">Izdrukāts 29.07.2026. 22.54 - 1.0.VK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noteikumu_(grozījumu)_projekts_25-TA-2776.docx</dc:title>
</cp:coreProperties>
</file>

<file path=docProps/custom.xml><?xml version="1.0" encoding="utf-8"?>
<Properties xmlns="http://schemas.openxmlformats.org/officeDocument/2006/custom-properties" xmlns:vt="http://schemas.openxmlformats.org/officeDocument/2006/docPropsVTypes"/>
</file>