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pētījumu programmu "Inovāciju fonds – nozaru pētījumu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Zinātniskās darbības likuma</w:t>
      </w:r>
      <w:r w:rsidR="00000000" w:rsidRPr="00000000" w:rsidDel="00000000">
        <w:rPr>
          <w:rtl w:val="0"/>
        </w:rPr>
        <w:t xml:space="preserve"> 13. panta otrās daļas 3. punktu, kā arī pamatojoties uz </w:t>
      </w:r>
      <w:r w:rsidR="00000000" w:rsidRPr="00000000" w:rsidDel="00000000">
        <w:rPr>
          <w:rtl w:val="0"/>
        </w:rPr>
        <w:t xml:space="preserve">Ministru kabineta 2018. gada 4. septembra noteikumu Nr. 560 "Valsts pētījumu programmu projektu īstenošanas kārtība"</w:t>
      </w:r>
      <w:r w:rsidR="00000000" w:rsidRPr="00000000" w:rsidDel="00000000">
        <w:rPr>
          <w:rtl w:val="0"/>
        </w:rPr>
        <w:t xml:space="preserve"> 4. punktu, apstiprināt valsts pētījumu programmu "Inovāciju fonds – nozaru pētījumu programma" (turpmāk –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Ekonomikas ministriju par atbildīgo institūciju programmas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kopējais finansējums laikposmam no 2022. gada līdz 2024. gadam ir 12 000 000 </w:t>
      </w:r>
      <w:r w:rsidR="00000000" w:rsidRPr="00000000" w:rsidDel="00000000">
        <w:rPr>
          <w:i w:val="1"/>
          <w:rtl w:val="0"/>
        </w:rPr>
        <w:t xml:space="preserve">euro</w:t>
      </w:r>
      <w:r w:rsidR="00000000" w:rsidRPr="00000000" w:rsidDel="00000000">
        <w:rPr>
          <w:rtl w:val="0"/>
        </w:rPr>
        <w:t xml:space="preserve">, tai skaitā 2022. gadam – 4 000 000 </w:t>
      </w:r>
      <w:r w:rsidR="00000000" w:rsidRPr="00000000" w:rsidDel="00000000">
        <w:rPr>
          <w:i w:val="1"/>
          <w:rtl w:val="0"/>
        </w:rPr>
        <w:t xml:space="preserve">euro</w:t>
      </w:r>
      <w:r w:rsidR="00000000" w:rsidRPr="00000000" w:rsidDel="00000000">
        <w:rPr>
          <w:rtl w:val="0"/>
        </w:rPr>
        <w:t xml:space="preserve">, 2023. gadam – 4 000 000 </w:t>
      </w:r>
      <w:r w:rsidR="00000000" w:rsidRPr="00000000" w:rsidDel="00000000">
        <w:rPr>
          <w:i w:val="1"/>
          <w:rtl w:val="0"/>
        </w:rPr>
        <w:t xml:space="preserve">euro</w:t>
      </w:r>
      <w:r w:rsidR="00000000" w:rsidRPr="00000000" w:rsidDel="00000000">
        <w:rPr>
          <w:rtl w:val="0"/>
        </w:rPr>
        <w:t xml:space="preserve"> un 2024. gadam – 4 000 000 </w:t>
      </w:r>
      <w:r w:rsidR="00000000" w:rsidRPr="00000000" w:rsidDel="00000000">
        <w:rPr>
          <w:i w:val="1"/>
          <w:rtl w:val="0"/>
        </w:rPr>
        <w:t xml:space="preserve">euro</w:t>
      </w:r>
      <w:r w:rsidR="00000000" w:rsidRPr="00000000" w:rsidDel="00000000">
        <w:rPr>
          <w:rtl w:val="0"/>
        </w:rPr>
        <w:t xml:space="preserve">. Programmu finansē no Ekonomikas ministrijai valsts budžeta programmā 35.00.00 "Valsts atbalsta programmas"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virsmērķis – misijas orientētā pieejā balstītu jaunu zināšanu, kā arī produktu un tehnoloģiju risinājumu attīstība ilgtermiņā Latvijā apstiprinātajās viedās specializācijas stratēģijas jomās "Biomedicīna, medicīnas tehnoloģijas, farmācija" un "Fotonika un viedie materiāli, tehnoloģijas un inženiersistēmas".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misijas orientēts ilgtermiņa mērķis – veicināt zinātnisko pētniecību un sekmēt tehnoloģiju pārnesi, inovatīvu un komercializējamu produktu un tehnoloģiju attīstību atbilstoši industrijas pieprasījumam viedās specializācijas stratēģijas jomās "Biomedicīna, medicīnas tehnoloģijas, farmācija" un "Fotonika un viedie materiāli, tehnoloģijas un inženiersistēmas".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Programmas misijas orientētā ilgtermiņa mērķa sasniegšanai noteikt šādus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viedās specializācijas stratēģijas jomā "Biomedicīna, medicīnas tehnoloģijas, farmācija" –  terapijas pieejamības uzlabošana dzīvildzes un darbspējas pieaugumam, attīstot zāļu, to transportformu un vakcīnu ražošanas tehnoloģijas, īstenojot zāļvielu pārprofilēšanu, jaunu zāļu atklāšanu un attīstības pētījumus, kā arī identificējot jaunus biomarķierus un attīstot precīzijas medicīnas risinājumus;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specializācijas stratēģijas jomā "Fotonika un viedie materiāli, tehnoloģijas un inženiersistēmas" – viedu optikas un materiālu, mikrofluīdikas, mikroelektronikas un sensoru, robotikas un nākotnes lietu interneta risinājumu attīstīšana.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programmai šādus kopīgus (horizontālos)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un attīstīt starpdisciplināras un iekļaujošas starptautiski konkurētspējīgas zinātnieku grupas, kas zinātniskajā darbībā izmanto pētniecības metodes un tehnoloģijas, kas ir atzītas pasaules zinātnieku vidū;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attīstīt zinātnisko grupu sadarbību ar attiecīgās tautsaimniecības nozares speciālistiem;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iesaistīties starptautiskās sadarbības tīklos un konsorcijos;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attīstīt inovatīvus risinājumus un veicināt to plašāku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informēt sabiedrību, iesaistot atbilstošās mērķa grupas, lai veicinātu zināšanu pārnesi, izpratni par pētniecības lomu un devumu sabiedrībai nozīmīgu jautājumu risināšanā.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īstenošanas laikā noteikt šādus sasniedzamos rezultātus ar augstu komercializācijas potenciālu: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izstrādāti jauni paņēmieni un risinājumi;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izstrādātas jaunas tehnoloģijas un produktu prototipi.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Programmas īstenošanu bez papildu finansējuma piešķiršanas var pagarināt līdz vienam gadam, ja tas ir nepieciešams programmas un tās projektu rezultātu nostiprināšanai un publiskošanai.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24-TA-399</w:t>
    </w:r>
    <w:r>
      <w:br/>
    </w:r>
    <w:r w:rsidR="00000000" w:rsidRPr="00000000" w:rsidDel="00000000">
      <w:rPr>
        <w:rtl w:val="0"/>
      </w:rPr>
      <w:t xml:space="preserve">Izdrukāts 29.07.2026. 22.15 - 1.0.VK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24-TA-399</w:t>
    </w:r>
    <w:r>
      <w:br/>
    </w:r>
    <w:r w:rsidR="00000000" w:rsidRPr="00000000" w:rsidDel="00000000">
      <w:rPr>
        <w:rtl w:val="0"/>
      </w:rPr>
      <w:t xml:space="preserve">Izdrukāts 29.07.2026. 22.15 - 1.0.VK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rīkojuma_konsolidētā_versija_24-TA-399.docx</dc:title>
</cp:coreProperties>
</file>

<file path=docProps/custom.xml><?xml version="1.0" encoding="utf-8"?>
<Properties xmlns="http://schemas.openxmlformats.org/officeDocument/2006/custom-properties" xmlns:vt="http://schemas.openxmlformats.org/officeDocument/2006/docPropsVTypes"/>
</file>