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kiberdrošības stratēģiju 2023.–2026.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kiberdrošības stratēģiju 2023.–2026. gadam (turpmāk – stratēģija).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Aizsardzības ministriju par atbildīgo institūciju stratēģijā noteikto mērķu ieviešanas koordinācijā.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izstrādāt un aizsardzības ministram līdz 2023. gada 1. maijam iesniegt noteiktā kārtībā Ministru kabinetā stratēģijas ieviešanas uzdevumu plānu.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ministrijai izstrādāt un aizsardzības ministram līdz 2026. gada 1. maijam iesniegt noteiktā kārtībā Ministru kabinetā informatīvo ziņojumu par stratēģijas un stratēģijas ieviešanas uzdevumu plāna izpildes novērtējumu, iekļaujot tajā priekšlikumus kiberdrošības politikas jomā turpmākajiem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Atbildīgajām institūcijām stratēģijā paredzētos uzdevumus un pasākumus 2023.–2026. gadam īstenot piešķirto valsts budžeta līdzekļu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23-TA-517</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23-TA-517</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rīkojuma_projekts_23-TA-517.docx</dc:title>
</cp:coreProperties>
</file>

<file path=docProps/custom.xml><?xml version="1.0" encoding="utf-8"?>
<Properties xmlns="http://schemas.openxmlformats.org/officeDocument/2006/custom-properties" xmlns:vt="http://schemas.openxmlformats.org/officeDocument/2006/docPropsVTypes"/>
</file>