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2015. gada 9. jūnija rīkojumā Nr. 299 "Par ilgtermiņa saistībām Iekšlietu ministrijai Iekšējās drošības biroja funkciju nodrošināšanai""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ilgtermiņa saistību palielināšanu Iekšlietu ministrijas budžeta apakšprogrammā 40.02.00 “Nekustamais īpašums un centralizētais iepirkums” pasākumam “Nekustamā īpašuma Krišjāņa Valdemāra ielā 1A, Rīgā, nomas maksa” 2024. gadā par 4 128 </w:t>
      </w:r>
      <w:r w:rsidR="00000000" w:rsidRPr="00000000" w:rsidDel="00000000">
        <w:rPr>
          <w:i w:val="1"/>
          <w:rtl w:val="0"/>
        </w:rPr>
        <w:t xml:space="preserve">euro</w:t>
      </w:r>
      <w:r w:rsidR="00000000" w:rsidRPr="00000000" w:rsidDel="00000000">
        <w:rPr>
          <w:rtl w:val="0"/>
        </w:rPr>
        <w:t xml:space="preserve"> un 2025.gadā par 77 860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šī protokollēmuma 3.punktā paredzētais finansējuma palielinājums 2024. un 2025.gadā tiek segts no Iekšlietu ministrijas budžeta apakšprogrammas 40.02.00 “Nekustamais īpašums un centralizētais iepirkums” pasākuma “Iekšlietu ministrijas administratīvā kompleksa Rīgā, Čiekurkalnā, nomas maksa” ilgtermiņa saistību samazinājuma.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atbilstoši šā rīkojuma 3. un 4.punktam normatīvajos aktos noteiktajā kārtībā sagatavot un iesniegt Finanšu ministrijā pieprasījumu: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apropriācijas pārdalei 2024.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 precizēšanai likumprojekta "Par valsts budžetu 2025. gadam un budžeta ietvaru 2025., 2026. un 2027. gadam" izskatīšanai Saeimā otrajā lasījumā.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24-TA-2581</w:t>
    </w:r>
    <w:r>
      <w:br/>
    </w:r>
    <w:r w:rsidR="00000000" w:rsidRPr="00000000" w:rsidDel="00000000">
      <w:rPr>
        <w:rtl w:val="0"/>
      </w:rPr>
      <w:t xml:space="preserve">Izdrukāts 29.07.2026. 23.27 - 2.0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mk_sēdes_protokollēmuma_projekts_24-TA-2581.docx</dc:title>
</cp:coreProperties>
</file>

<file path=docProps/custom.xml><?xml version="1.0" encoding="utf-8"?>
<Properties xmlns="http://schemas.openxmlformats.org/officeDocument/2006/custom-properties" xmlns:vt="http://schemas.openxmlformats.org/officeDocument/2006/docPropsVTypes"/>
</file>