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aprīlī (prot. Nr. 22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909 694 </w:t>
      </w:r>
      <w:r w:rsidR="00000000" w:rsidRPr="00000000" w:rsidDel="00000000">
        <w:rPr>
          <w:i w:val="1"/>
          <w:rtl w:val="0"/>
        </w:rPr>
        <w:t xml:space="preserve">euro </w:t>
      </w:r>
      <w:r w:rsidR="00000000" w:rsidRPr="00000000" w:rsidDel="00000000">
        <w:rPr>
          <w:rtl w:val="0"/>
        </w:rPr>
        <w:t xml:space="preserve">apmērā, lai segtu izdevumus saistībā ar skābekļa pievades vai izveides sistēmu uzlabošanu no 2021. gada janvāra līdz 2022. gada martam,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sabiedrībai ar ierobežotu atbildību "Liepājas reģionālā slimnīca" 778 470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"Ziemeļkurzemes reģionālā slimnīca" 5638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sabiedrībai ar ierobežotu atbildību "Jelgavas pilsētas slimnīca" 1477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sabiedrībai ar ierobežotu atbildību "Jūrmalas slimnīca" 11 482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sabiedrībai ar ierobežotu atbildību "Dobeles un apkārtnes slimnīca" 11 411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sabiedrībai ar ierobežotu atbildību "Preiļu slimnīca" 1784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sabiedrībai ar ierobežotu atbildību "Tukuma slimnīca" 22 501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sabiedrībai ar ierobežotu atbildību "Bauskas slimnīca" 5482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sabiedrībai ar ierobežotu atbildību "Aizkraukles medicīnas centrs"  9240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sabiedrībai ar ierobežotu atbildību "Ludzas medicīnas centrs" 2444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sabiedrībai ar ierobežotu atbildību "Saldus medicīnas centrs" 7370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pašvaldības sabiedrībai ar ierobežotu atbildību "Rīgas 1. slimnīca" 52 395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22-TA-1011</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22-TA-1011</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rīkojuma_projekts_22-TA-1011.docx</dc:title>
</cp:coreProperties>
</file>

<file path=docProps/custom.xml><?xml version="1.0" encoding="utf-8"?>
<Properties xmlns="http://schemas.openxmlformats.org/officeDocument/2006/custom-properties" xmlns:vt="http://schemas.openxmlformats.org/officeDocument/2006/docPropsVTypes"/>
</file>