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26. martā (prot. Nr. 13 47.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 Izdoti saskaņā ar Eiropas Savienības fondu 2021.–2027. gada plānošanas perioda vadības likuma  19. panta 6. un 13. punktu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(turpmāk – pasākums) projektu iesniegumu pirmo un otro atlases 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pirmās un otrās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pirmajai un otrajai atlases kārtai plānoto un pieejamo finansējumu;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(turpmāk – projekta iesniedzējs),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uzlabot dabas aizsardzību un bioloģisko daudzveidību, izstrādājot īpaši aizsargājamo dabas teritoriju dabas aizsardzības plānus.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pirmās un otrās atlases kārtas mērķteritorijas ir īpaši aizsargājamās dabas teritorijas, kurām  saskaņā ar Vides aizsardzības un reģionālās attīstības ministrijas  izveidotās dabas aizsardzības plānu izvērtēšanas komisijas lēmumu dabas aizsardzības plāni ir izstrādājami prioritāri.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pirmās un otrās atlases kārtas mērķa grupa ir dabas un vides aizsardzības, uzraudzības un kontroles institūcijas, pašvaldības, kuru teritorijā atrodas īpaši aizsargājamās dabas teritorijas, kā arī šo teritoriju īpašnieki un iedzīvotāji.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pirmo un otro atlases kārtu īsteno līdz 2027. gada 31. decembrim, sasniedzot iznākuma rādītāju – </w:t>
      </w:r>
      <w:r w:rsidR="00000000" w:rsidRPr="00000000" w:rsidDel="00000000">
        <w:rPr>
          <w:i w:val="1"/>
          <w:rtl w:val="0"/>
        </w:rPr>
        <w:t xml:space="preserve">Natura 2000</w:t>
      </w:r>
      <w:r w:rsidR="00000000" w:rsidRPr="00000000" w:rsidDel="00000000">
        <w:rPr>
          <w:rtl w:val="0"/>
        </w:rPr>
        <w:t xml:space="preserve"> teritoriju platība, uz kuru attiecas aizsardzības un atjaunošanas pasākumi, – 22 500 hektāri (pirmajā atlases kārtā – 11 250 hektāri, otrajā atlases kārtā – 11 250 hektāri).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iznākuma rādītāja vērtībā ieskaita arī īpaši aizsargājamās teritorijas platību, kurai ir izstrādāts dabas aizsardzības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pirmo atlases kārtu īsteno ierobežotas projektu iesniegumu atlases veidā, bet pasākuma otro atlases kārtu –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atbildīgās iestādes funkcijas pilda Vides aizsardzības un reģionālās attīstības ministrija (turpmāk – atbildīgā iestāde).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pirmās atlases kārtas īstenošanai plānotais un pieejamais kopējais attiecināmais finansējums ir vismaz 2 941 177 </w:t>
      </w:r>
      <w:r w:rsidR="00000000" w:rsidRPr="00000000" w:rsidDel="00000000">
        <w:rPr>
          <w:i w:val="1"/>
          <w:rtl w:val="0"/>
        </w:rPr>
        <w:t xml:space="preserve">euro</w:t>
      </w:r>
      <w:r w:rsidR="00000000" w:rsidRPr="00000000" w:rsidDel="00000000">
        <w:rPr>
          <w:rtl w:val="0"/>
        </w:rPr>
        <w:t xml:space="preserve">, tai skaitā Eiropas Reģionālās attīstības fonda finansējums – 2 500 000 </w:t>
      </w:r>
      <w:r w:rsidR="00000000" w:rsidRPr="00000000" w:rsidDel="00000000">
        <w:rPr>
          <w:i w:val="1"/>
          <w:rtl w:val="0"/>
        </w:rPr>
        <w:t xml:space="preserve">euro</w:t>
      </w:r>
      <w:r w:rsidR="00000000" w:rsidRPr="00000000" w:rsidDel="00000000">
        <w:rPr>
          <w:rtl w:val="0"/>
        </w:rPr>
        <w:t xml:space="preserve"> un nacionālais līdzfinansējums, ko veido valsts budžeta līdzfinansējums, – 441 177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otrās atlases kārtas īstenošanai plānotais un pieejamais kopējais attiecināmais finansējums ir 2 941 177 </w:t>
      </w:r>
      <w:r w:rsidR="00000000" w:rsidRPr="00000000" w:rsidDel="00000000">
        <w:rPr>
          <w:i w:val="1"/>
          <w:rtl w:val="0"/>
        </w:rPr>
        <w:t xml:space="preserve">euro</w:t>
      </w:r>
      <w:r w:rsidR="00000000" w:rsidRPr="00000000" w:rsidDel="00000000">
        <w:rPr>
          <w:rtl w:val="0"/>
        </w:rPr>
        <w:t xml:space="preserve">, tai skaitā Eiropas Reģionālās attīstības fonda finansējums – 2 500 000 </w:t>
      </w:r>
      <w:r w:rsidR="00000000" w:rsidRPr="00000000" w:rsidDel="00000000">
        <w:rPr>
          <w:i w:val="1"/>
          <w:rtl w:val="0"/>
        </w:rPr>
        <w:t xml:space="preserve">euro</w:t>
      </w:r>
      <w:r w:rsidR="00000000" w:rsidRPr="00000000" w:rsidDel="00000000">
        <w:rPr>
          <w:rtl w:val="0"/>
        </w:rPr>
        <w:t xml:space="preserve"> un nacionālais līdzfinansējums, ko veido pašvaldību budžeta līdzfinansējums, – vismaz 441 177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pirmajā un otrajā atlases kārtā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pirmajā atlases kārtā attiecināmais Eiropas Reģionālās attīstības fonda finansējuma apmērs nepārsniedz 85 procentus no projekta kopējā attiecināmā finansējuma, un valsts budžeta līdzfinansējums ir vismaz 15 procenti no projekta kopējā attiecināmā finansējuma, bet pasākuma otrajā atlases kārtā attiecināmais Eiropas Reģionālās attīstības fonda finansējuma apmērs nepārsniedz 85 procentus no projekta kopējā attiecināmā finansējuma, un pašvaldības budžeta līdzfinansējums ir vismaz 15 procenti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otrajā atlases kārtā netiek izmantots viss kārtai atvēlētais Eiropas Reģionālās attīstības fonda finansējums, neizmantotā finansējuma daļa, ja nepieciešams, tiek novirzīta projekta pirmās atlases kārtas darbībām vai arī tiek pārdalīta citu 2.2.3. specifiskā atbalsta mērķa "Uzlabot dabas aizsardzību un bioloģisko daudzveidību, "zaļo" infrastruktūru, it īpaši pilsētvidē, un samazināt piesārņojumu" pasākumu īstenošanai.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minimālais attiecināmo izmaksu apmērs nav mazāks par 200 000 (ieskaitot)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Vienā projektā iekļauj viena vai vairāku īpaši aizsargājamu dabas teritoriju dabas aizsardzības plānu izstrādi.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pirmās un otrās atlases kārtas ietvaros vienas īpaši aizsargājamas dabas teritorijas dabas aizsardzības plāna izstrāde tiek iekļauta vienā projektā.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partnerim (ja to pieaicina)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kas pēc projekta iesnieguma apstiprināšanas ir finansējuma saņēmējs: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ir tiešās pārvaldes iestāde, kuras kompetencē ir dabas aizsardzības politikas īstenošana sugu un biotopu aizsardzības jomā, – Dabas aizsardzības pārvalde;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ir pašvaldība vai tās iestāde, kuras teritorijā atrodas īpaši aizsargājamā dabas teritorija, kurai prioritāri izstrādājams dabas aizsardzības plāns.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otrās atlases kārtas ietvaros, slēdzot rakstisku sadarbības līgumu par pušu pienākumiem, tiesībām un atbildību projekta mērķa un rādītāju sasniegšanā un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minēto prasību nodrošināšanā atbilstoši normatīvajiem aktiem par kārtību, kādā Eiropas Savienības fondu vadībā iesaistītās institūcijas nodrošina šo fondu ieviešanu 2021.–2027. gada plānošanas periodā, var piesaistīt citu pašvaldību vai tās iestādi, kuras teritorijās atrodas īpaši aizsargājamā dabas teritorija, kurai prioritāri izstrādājams dabas aizsardzības plāns un par kuru tiek sagatavots vienots projekta iesniegums.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kopā ar sadarbības partneri (ja attiecināms) plāno projektā sasniedzamos uzraudzības rādītājus un Eiropas Reģionālās attīstības fonda finansējumu atbilstoši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noteiktajiem rādītājiem un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pieejamajam finansējumam.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Pirmajā un otrajā projekta atlases kārtā projekta  iesniedzējs iesniedz vienu vai vairākus projektu iesniegumus.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un sadarbības partneris: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atbildīgs par projekta mērķa, rezultātu un rādītāju sasniegšanu tādā apjomā, kā noteikts sadarbības līgumā;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iesaistās projekta īstenošanā ar saviem resursiem, tai skaitā finansējumu.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projekta iesniedzējs pirmās atlases kārtas ietvaros plāno iesniegt vairākus projektu iesniegumus, tas nodrošina, ka visi projekti kopā sasniedz pirmajai atlases kārtai noteiktos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minētos iznākuma rādītājus un nepārsniedz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finansējuma apjomu.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kopīgi ar sadarbības partneri (ja attiecināms) saskaņā ar projektu iesniegumu atlases nolikuma prasībām elektroniski sagatavo projekta iesniegumu un iesniedz sadarbības iestādē, izmantojot Kohēzijas politikas fondu vadības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otrajā projektu atlases kārtā kopā ar projekta iesniegumu iesniedz ar Dabas aizsardzības pārvaldi saskaņotu darba uzdevumu īpaši aizsargājamas dabas teritorijas dabas aizsardzības plāna izstrādei, kas nav vecāks par 12 mēnešiem.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ietvaros atbalstāmās darbības bioloģiskās daudzveidības saglabāšanai un ekosistēmu aizsardzībai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plānu izstrāde īpaši aizsargājamām dabas teritorijām;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komunikācijas un vizuālās identitātes prasību nodrošināšanas pasākumi, tai skaitā sabiedrību izglītojoši vai dabas izglītības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vadības, īstenošanas un uzraudzības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Atlases kārtas ietvaros projektiem plāno tiešās un 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Tiešās attiecināmās izmaksas ietver šādas izmaksu pozīcijas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līgumu izmaksas šo noteikumu </w:t>
      </w:r>
      <w:r w:rsidR="00000000" w:rsidRPr="00000000" w:rsidDel="00000000">
        <w:rPr>
          <w:rtl w:val="0"/>
        </w:rPr>
        <w:t xml:space="preserve">25.1. </w:t>
      </w:r>
      <w:r w:rsidR="00000000" w:rsidRPr="00000000" w:rsidDel="00000000">
        <w:rPr>
          <w:rtl w:val="0"/>
        </w:rPr>
        <w:t xml:space="preserve"> un </w:t>
      </w:r>
      <w:r w:rsidR="00000000" w:rsidRPr="00000000" w:rsidDel="00000000">
        <w:rPr>
          <w:rtl w:val="0"/>
        </w:rPr>
        <w:t xml:space="preserve">25.2. </w:t>
      </w:r>
      <w:r w:rsidR="00000000" w:rsidRPr="00000000" w:rsidDel="00000000">
        <w:rPr>
          <w:rtl w:val="0"/>
        </w:rPr>
        <w:t xml:space="preserve">apakšpunktā</w:t>
      </w:r>
      <w:r w:rsidR="00000000" w:rsidRPr="00000000" w:rsidDel="00000000">
        <w:rPr>
          <w:rtl w:val="0"/>
        </w:rPr>
        <w:t xml:space="preserve"> minētajām atbalstāmajām darbībām, izņemot šo noteikumu </w:t>
      </w:r>
      <w:r w:rsidR="00000000" w:rsidRPr="00000000" w:rsidDel="00000000">
        <w:rPr>
          <w:rtl w:val="0"/>
        </w:rPr>
        <w:t xml:space="preserve">27.2. </w:t>
      </w:r>
      <w:r w:rsidR="00000000" w:rsidRPr="00000000" w:rsidDel="00000000">
        <w:rPr>
          <w:rtl w:val="0"/>
        </w:rPr>
        <w:t xml:space="preserve">apakšpunktā</w:t>
      </w:r>
      <w:r w:rsidR="00000000" w:rsidRPr="00000000" w:rsidDel="00000000">
        <w:rPr>
          <w:rtl w:val="0"/>
        </w:rPr>
        <w:t xml:space="preserve"> noteiktās izmaksas, ja šo pakalpojumu iepirkumu procedūras tiek veiktas saskaņā ar Publisko iepirkumu likumu;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tiešās attiecināmās projekta vadības un īstenošanas personāla izmaksas,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vienoto likmi: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iesniegumu pirmajā atlases kārtā 17 % apmērā no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minētajām tiešajām attiecināmajām izmaksām, kas nav atlīdzības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iesniegumu otrajā atlases kārtā 13 % apmērā no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minētajām tiešajām attiecināmajām izmaksām, kas nav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komunikācijas tehnoloģiju aprīkojuma un licenču iegādes vai to nomas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jaunradītu darba vietu aprīkojuma (biroja mēbeļu un tehnikas, datorprogrammu un licences) iegādes vai īres izmaksas, tai skaitā aprīkojuma uzturēšanas un remonta izmaksas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projekta vadības un īstenošanas personāls ir nodarbināts projektā normālu darba laiku, darba vietas aprīkojuma iegādes vai nomas izmaksas ir attiecināmas 100 procentu apmērā. Ja personāls ir nodarbināts nepilnu darba laiku, darba vietas aprīkojuma iegādes vai nomas izmaksas ir attiecināmas, ņemot vērā attiecīgā darba laika proporciju. Ja personāls ir nodarbināts saskaņā ar daļlaika attiecināmības principu, darba vietas aprīkojuma attiecināmās izmaksas nosakāmas proporcionāli darba laika 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izmaksas, nepārsniedzot vienu procentu no projekta kopējām tiešajām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ievērošanas izmaksas šo noteikumu </w:t>
      </w:r>
      <w:r w:rsidR="00000000" w:rsidRPr="00000000" w:rsidDel="00000000">
        <w:rPr>
          <w:rtl w:val="0"/>
        </w:rPr>
        <w:t xml:space="preserve">27.2. </w:t>
      </w:r>
      <w:r w:rsidR="00000000" w:rsidRPr="00000000" w:rsidDel="00000000">
        <w:rPr>
          <w:rtl w:val="0"/>
        </w:rPr>
        <w:t xml:space="preserve">apakšpunktā</w:t>
      </w:r>
      <w:r w:rsidR="00000000" w:rsidRPr="00000000" w:rsidDel="00000000">
        <w:rPr>
          <w:rtl w:val="0"/>
        </w:rPr>
        <w:t xml:space="preserve"> minētās darbības īstenošanai – zīmju valodas tulku, vieglās valodas tulkošanas, reāllaika transkripcijas un subtitru nodrošināšanas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Neparedzētie izdevumi nepārsniedz trīs procentus no projekta kopējām tiešajām attiecināmajām izmaksām. Neparedzēto izdevumu izlietošanu finansējuma saņēmējs saskaņo ar sadarbības iestādi.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procentu apmērā no šo noteikumu </w:t>
      </w:r>
      <w:r w:rsidR="00000000" w:rsidRPr="00000000" w:rsidDel="00000000">
        <w:rPr>
          <w:rtl w:val="0"/>
        </w:rPr>
        <w:t xml:space="preserve">27.2. </w:t>
      </w:r>
      <w:r w:rsidR="00000000" w:rsidRPr="00000000" w:rsidDel="00000000">
        <w:rPr>
          <w:rtl w:val="0"/>
        </w:rPr>
        <w:t xml:space="preserve">apakšpunktā</w:t>
      </w:r>
      <w:r w:rsidR="00000000" w:rsidRPr="00000000" w:rsidDel="00000000">
        <w:rPr>
          <w:rtl w:val="0"/>
        </w:rPr>
        <w:t xml:space="preserve"> minētajām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attiecināmām izmaksām saskaņā ar regulas Nr. 2021/1060 64. panta 1. punkta "c" apakšpunktu, ja vien tie nav atgūstami saskaņā ar nacionālajiem tiesību aktiem pievienotās vērtības nodokļa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un sadarbības partneris (ja attiecināms) izstrādā nosacījumus, kā tas pārliecinās par interešu konflikta, krāpšanas un korupcijas risku neesību, tostarp identificē apstākļus, kuri izraisa vai var izraisīt interešu konfliktu un krāpšanas un korupcijas riskus, kas rada apdraudējumu vai kaitējumu projekta īstenošanā. Finansējuma saņēmējs un sadarbības partneris paraksta apliecinājumu par interešu konflikta neesību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un publiskos iepirkumus regulējošo normatīvo aktu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izmaksas ir attiecināmas no 2023. gada 1. janvāra, taču projekta darbības nevar būt pabeigtas pirms projekta iesnieguma iesniegšanas sadarbības iestādē.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atlases kārtu un projekta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Sadarbības iestāde pasākuma pirmās atlases kārtas ietvaros lēmumu par projekta apstiprināšanu, apstiprināšanu ar nosacījumu vai noraidīšanu pieņem viena mēneša laikā pēc projekta iesnieguma iesniegšanas beigu datuma, bet otrās kārtas ietvaros – triju mēnešu laikā pēc projekta iesnieguma iesniegšanas beigu datuma.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pirmās un otrās atlases kārtas ietvaros projektu īsteno saskaņā ar vienošanos vai līgumu par projekta īstenošanu, bet ne ilgāk kā līdz 2027.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ietvaros iepirkumus veic saskaņā ar publiskos iepirkumus regulējošo normatīvo aktu prasībām, īstenojot atklātu, pārredzamu, nediskriminējošu un konkurenci neierobežojošu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attiecināms, projekta ietvaros, veicot iepirkumus, nodrošina vides prasību integrāciju preču un pakalpojumu iepirkumos (zaļais publiskais iepirkums), kā arī publiskos iepirkumus īsteno sociāli atbildīgā veidā, piemērojot sociāli atbildīgā publiskā iepirkuma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Īstenojot projektu, finansējuma saņēmējs un sadarbības partneris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dabas aizsardzības plānus saskaņā ar normatīvajiem aktiem par īpaši aizsargājamās dabas teritorijas dabas aizsardzības plāna saturu un izstrādes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komunikācijas un vizuālās identitātes prasības, kas noteiktas regulas 2021/1060 47. un 50. pantā un saskaņā 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sedz projekta izmaksu pieaugumu otrās atlases kārtas ietvaros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projektā plānotie darbi netiek finansēti vai līdzfinansēti un tos nav plānots finansēt vai līdzfinansēt no citiem valsts vai ārvalstu finanšu atbalsta instrumentiem, kā arī nodrošina dubultā finansējuma neiestāšanos;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nosacījumus, kā arī pārliecinās par interešu konflikta neesību, tostarp identificē apstākļus, kas izraisa vai var izraisīt interešu konfliktu, kas rada apdraudējumu vai kaitējumu projekta īstenošanā, nosaka veicamos pasākumus un izstrādā darbības plānu interešu konflikta preventīvai novēršanai un gadījumiem, kad interešu konflikts ir atklāts;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sabiedrību izglītojošus vai dabas izglītības pasākumus par īpaši aizsargājamu dabas teritoriju, kurai tiek izstrādāts dabas aizsardzības plāns;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nodrošina datu uzkrāšanu un to ievadi Kohēzijas politikas fondu vadības informācijas sistēmā projekta īstenošanas laikā. Projekta īstenošanas laikā jāuzkrāj šādi dati: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mediju kampaņu, semināru, konferenču  un komunikācijas pasākumu skaits, kuros  sabiedrības informēšanas pasākumi tika nodrošināti cilvēkiem ar dažādu veidu funkcionāliem traucējumiem (piemēram, tulkošana zīmju valodā, subtitrēšana, reāllaika transkripcija, raidījumu un pasākumu ieraksti);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to tiesiskajiem un praktiskajiem aspektiem.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Pasākuma otrās atlases kārtas ietvaros pēc vienošanās vai civiltiesiskā līguma par projekta īstenošanu noslēgšanas sadarbības iestāde apstiprina finansējuma saņēmēja sagatavoto avansa pieprasījumu, ņemot vērā, ka plānoto avansa apmēru būs iespējams izlietot saimnieciskā gada ietvaros sešu mēnešu laikā, kā arī ievērojot, ka avansa un starpposma maksājumu kopsumma nepārsniedz 90 procentus no projektam piešķirtā Eiropas Reģionālās attīstības fonda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23-TA-2391</w:t>
    </w:r>
    <w:r>
      <w:br/>
    </w:r>
    <w:r w:rsidR="00000000" w:rsidRPr="00000000" w:rsidDel="00000000">
      <w:rPr>
        <w:rtl w:val="0"/>
      </w:rPr>
      <w:t xml:space="preserve">Izdrukāts 29.07.2026. 21.47 - 1.0.VK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23-TA-2391</w:t>
    </w:r>
    <w:r>
      <w:br/>
    </w:r>
    <w:r w:rsidR="00000000" w:rsidRPr="00000000" w:rsidDel="00000000">
      <w:rPr>
        <w:rtl w:val="0"/>
      </w:rPr>
      <w:t xml:space="preserve">Izdrukāts 29.07.2026. 21.47 - 1.0.VK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noteikumu_projekts_23-TA-2391.docx</dc:title>
</cp:coreProperties>
</file>

<file path=docProps/custom.xml><?xml version="1.0" encoding="utf-8"?>
<Properties xmlns="http://schemas.openxmlformats.org/officeDocument/2006/custom-properties" xmlns:vt="http://schemas.openxmlformats.org/officeDocument/2006/docPropsVTypes"/>
</file>