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Programmas "Iespējkapitāla ieguldījumi"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14. punktu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programmu "Iespējkapitāla ieguldījumi" (turpmāk – programma) un Eiropas Savienības kohēzijas politikas programmas 2021.–2027. gadam 1.2.3. specifiskā atbalsta mērķa "Veicināt ilgtspējīgu izaugsmi, konkurētspēju un darba vietu radīšanu MVU, tostarp ar produktīvām investīcijām" 1.2.3.2. pasākumu "Iespējkapitāla ieguldījumi"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saņēmējs – saimnieciskās darbības veicējs, kas atbalsta piešķiršanas brīdī atbilst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Eiropas Komisijas 2014. gada 17. jūnija Regulas (ES) Nr. 651/2014, ar ko noteiktas atbalsta kategorijas atzīst par saderīgām ar iekšējo tirgu, piemērojot Līguma 107. un 108. pantu (turpmāk – Komisijas regula Nr. 651/2014), I pielikumā noteiktajai mikrouzņēmumu, mazo un vidējo uzņēmumu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mikrouzņēmumu, mazo un vidējo uzņēmumu grupas līmenī (turpmāk - MVU grupas līmenī) nav kotēts atbilstoši Komisijas regulas Nr. </w:t>
      </w:r>
      <w:r w:rsidR="00000000" w:rsidRPr="00000000" w:rsidDel="00000000">
        <w:rPr>
          <w:rtl w:val="0"/>
        </w:rPr>
        <w:t xml:space="preserve">651/2014</w:t>
      </w:r>
      <w:r w:rsidR="00000000" w:rsidRPr="00000000" w:rsidDel="00000000">
        <w:rPr>
          <w:rtl w:val="0"/>
        </w:rPr>
        <w:t xml:space="preserve"> 2. panta 76. punktā minētajai definīcijai, ievērojot Komisijas regulas Nr. </w:t>
      </w:r>
      <w:r w:rsidR="00000000" w:rsidRPr="00000000" w:rsidDel="00000000">
        <w:rPr>
          <w:rtl w:val="0"/>
        </w:rPr>
        <w:t xml:space="preserve">651/2014</w:t>
      </w:r>
      <w:r w:rsidR="00000000" w:rsidRPr="00000000" w:rsidDel="00000000">
        <w:rPr>
          <w:rtl w:val="0"/>
        </w:rPr>
        <w:t xml:space="preserve"> 21. panta 3.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datubāzē publiski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un ir iesniedzis apliecinājumu, ka tas neatbilst normatīvajos aktos noteiktajiem kritērijiem, lai tam pēc kreditoru pieprasījuma pieprasītu maksātnespējas procedūru;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tas atbilst šo noteikumu </w:t>
      </w:r>
      <w:r w:rsidR="00000000" w:rsidRPr="00000000" w:rsidDel="00000000">
        <w:rPr>
          <w:rtl w:val="0"/>
        </w:rPr>
        <w:t xml:space="preserve">III nodaļā</w:t>
      </w:r>
      <w:r w:rsidR="00000000" w:rsidRPr="00000000" w:rsidDel="00000000">
        <w:rPr>
          <w:rtl w:val="0"/>
        </w:rPr>
        <w:t xml:space="preserve"> minētajiem ierobežojumiem par neatbalstāmajām nozarēm un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veic mērogojamu biznesa modeļu un inovatīvu produktu vai pakalpojumu izstrādi, ražošanu vai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 pašu kapitāla sākotnējais ieguldījums saskaņā ar Komisijas regulas Nr. </w:t>
      </w:r>
      <w:r w:rsidR="00000000" w:rsidRPr="00000000" w:rsidDel="00000000">
        <w:rPr>
          <w:rtl w:val="0"/>
        </w:rPr>
        <w:t xml:space="preserve">651/2014</w:t>
      </w:r>
      <w:r w:rsidR="00000000" w:rsidRPr="00000000" w:rsidDel="00000000">
        <w:rPr>
          <w:rtl w:val="0"/>
        </w:rPr>
        <w:t xml:space="preserve"> 2. panta 74. punktā noteikto definīciju vai kvazikapitāla sākotnējais ieguldījums saskaņā ar Komisijas regulas Nr. </w:t>
      </w:r>
      <w:r w:rsidR="00000000" w:rsidRPr="00000000" w:rsidDel="00000000">
        <w:rPr>
          <w:rtl w:val="0"/>
        </w:rPr>
        <w:t xml:space="preserve">651/2014</w:t>
      </w:r>
      <w:r w:rsidR="00000000" w:rsidRPr="00000000" w:rsidDel="00000000">
        <w:rPr>
          <w:rtl w:val="0"/>
        </w:rPr>
        <w:t xml:space="preserve"> 2. panta 66. punktā noteikto definīciju un Komisijas regulas Nr. 651/2014 21. panta 17. punktu, vai turpmākais ieguldījums saskaņā ar Komisijas regulas Nr. </w:t>
      </w:r>
      <w:r w:rsidR="00000000" w:rsidRPr="00000000" w:rsidDel="00000000">
        <w:rPr>
          <w:rtl w:val="0"/>
        </w:rPr>
        <w:t xml:space="preserve">651/2014</w:t>
      </w:r>
      <w:r w:rsidR="00000000" w:rsidRPr="00000000" w:rsidDel="00000000">
        <w:rPr>
          <w:rtl w:val="0"/>
        </w:rPr>
        <w:t xml:space="preserve"> 2. panta 77. punktā noteikto definīciju;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piešķiršanas brīdis – brīdis, kad finanšu starpnieks ir pieņēmis lēmumu par atbalsta piešķiršanu. Lēmumu par atbalsta piešķiršanu. Lēmumu par atbalsta piešķiršanu saskaņā ar Komisijas regulu Nr. 651/2014 var pieņemt līdz šīs regulas darbības beigām. Ja atbalsts tiek piešķirts atbilstoši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punktam, lēmumu par atbalsta piešķiršanu saskaņā ar Eiropas Komisijas 2023. gada 13. decembra Regula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var pieņemt līdz šīs regulas darbības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starpnieks – komercsabiedrība, kas pārvalda šo noteikumu ietvaros izveidotos iespējkapitāla fondus atbilstoši Komisijas regulas Nr.  </w:t>
      </w:r>
      <w:r w:rsidR="00000000" w:rsidRPr="00000000" w:rsidDel="00000000">
        <w:rPr>
          <w:rtl w:val="0"/>
        </w:rPr>
        <w:t xml:space="preserve">651/2014</w:t>
      </w:r>
      <w:r w:rsidR="00000000" w:rsidRPr="00000000" w:rsidDel="00000000">
        <w:rPr>
          <w:rtl w:val="0"/>
        </w:rPr>
        <w:t xml:space="preserve"> 21. panta 13., 14., 15., 16. un 17. punktā noteiktajām prasībām un līguma noslēgšanas brīdī atbilst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nav uzskatāma par grūtībās nonākušu uzņēmumu saskaņā ar Komisijas regulas Nr. 651/2014 2. panta 18. punktu un ir iesniegusi apliecinājumu, ka tā neatbilst normatīvajos aktos noteiktajiem kritērijiem, lai tai pēc kreditoru pieprasījuma pieprasītu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iespējkapitāla fonds – komandītsabiedrība, kas gala saņēmējiem sniedz atbalstu finansēšanā, lai veicinātu gala saņēmēju attīstību un vērtības pieaugumu, kā arī šo ieguldījumu realizācijas rezultātā gūtu peļņu. Šo noteikumu ietvaros izšķir šādus iespējkapitāla fondus: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iespējkapitāla fonds – finanšu starpnieka izveidots iespējkapitāla fonds, kas gala saņēmējiem sniedz pirmssēklas naudas un sēklas naudas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sākuma stadijas iespējkapitāla fonds – finanšu starpnieka izveidots iespējkapitāla fonds, kas gala saņēmējiem sniedz sākuma (agrīnas izaugsmes) stadijas iespējkapitāla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izaugsmes stadijas iespējkapitāla fonds – finanšu starpnieka izveidots iespējkapitāla fonds, kas gala saņēmējiem sniedz izaugsmes stadijas iespējkapitāla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aizstāšanas kapitāla ieguldījums – esošo gala saņēmēja kapitāldaļu iegāde no iepriekšējā ieguldītāja vai kapitāldaļu īpašnieka. To var veikt tikai tad, ja aizstāšanas kapitāla ieguldījumu kombinē ar jaunu kapitālu, kas atbilst vismaz 50 % no katras ieguldījumu kārtas saskaņā ar Komisijas regulas Nr.  </w:t>
      </w:r>
      <w:r w:rsidR="00000000" w:rsidRPr="00000000" w:rsidDel="00000000">
        <w:rPr>
          <w:rtl w:val="0"/>
        </w:rPr>
        <w:t xml:space="preserve">651/2014</w:t>
      </w:r>
      <w:r w:rsidR="00000000" w:rsidRPr="00000000" w:rsidDel="00000000">
        <w:rPr>
          <w:rtl w:val="0"/>
        </w:rPr>
        <w:t xml:space="preserve"> 21. panta 7. punktu. Aizstāšanas kapitāla ieguldījums ir uzskatāms par atbalstu gala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efektīvais laiks – laiks, ko nosaka proporcionāli, ņemot vērā investīciju perioda laiku mēnešos līdz 2029. gada 31. decembrim pret kopējo investīciju perioda laiku mēnešos.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nodrošināt finansējuma pieejamību, tādējādi sekmējot tādu jaunu, inovatīvu saimnieciskās darbības veicēju izveidi un attīstību Latvijā, kuriem ir augsts izaugsmes un produktivitātes potenciāls.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 "Attīstības finanšu institūcija Altum" (turpmāk – sabiedrība Altum) īsteno programmu, ievērojot šajos noteikumos un Ministru kabineta 2017. gada 17. oktobra noteikumos Nr. 630 "Noteikumi par iekšējās kontroles sistēmas pamatprasībām korupcijas un interešu konflikta riska novēršanai publiskas personas institūcijā" minētās prasības, uzrauga publiskā finansējuma izlietojumu atbilstoši noteiktajiem mērķiem un šajos noteikumos minētajiem nosacījumiem un finansēšanas nolīgumā noteiktajos termiņos ievada informāciju Kohēzijas politikas fondu vadības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Programmu īsteno un atbalstu sniedz ar iespējkapitāla fondu starpniecību. Programmas īstenošanai kopumā plānotais publiskais finansējums ir 93 000 000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īstenošanai līdz 2029. gada 31. decembrim pasākumam plānotais un pieejamais kopējais attiecināmais finansējums ir noteikts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īstenošanai no 2030. gada 1. janvāra pieejams finansējums Eiropas Savienības struktūrfondu un Kohēzijas fonda 2014.–2020. gada plānošanas perioda darbības programmas "Izaugsme un nodarbinātība" 3.1.2. specifiskā atbalsta mērķa "Palielināt straujas izaugsmes komersantu skaitu" 3.1.2.1. pasākuma "Riska kapitāls" atmaksas līdz 11 500 000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starpnieka pārvaldības maksa, kas radusies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attiecināma no šo noteikumu </w:t>
      </w:r>
      <w:r w:rsidR="00000000" w:rsidRPr="00000000" w:rsidDel="00000000">
        <w:rPr>
          <w:rtl w:val="0"/>
        </w:rPr>
        <w:t xml:space="preserve">5.1.</w:t>
      </w:r>
      <w:r w:rsidR="00000000" w:rsidRPr="00000000" w:rsidDel="00000000">
        <w:rPr>
          <w:rtl w:val="0"/>
        </w:rPr>
        <w:t xml:space="preserve"> apakšpunktā minētā finansējuma pilnā apmērā, ja līdz 2029. gada 31. decembrim ir veikti ieguldījumi gala saņēmējos vismaz 70% apmērā no attiecīgā fonda kapitāla, kas paredzēts ieguldījumiem gala saņēmējos, ievērojot investīciju perioda efektīvo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līdz 2029. gada 31. decembrim ir veikti ieguldījumi gala saņēmējos mazāk nekā 70% apmērā no attiecīgā fonda kapitāla, kas paredzēts ieguldījumiem gala saņēmējos, ievērojot investīciju perioda efektīvo laiku: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5.1.</w:t>
      </w:r>
      <w:r w:rsidR="00000000" w:rsidRPr="00000000" w:rsidDel="00000000">
        <w:rPr>
          <w:rtl w:val="0"/>
        </w:rPr>
        <w:t xml:space="preserve"> apakšpunktā minētā finansējuma attiecināmas izmaksas proporcionāli, aprēķinot ieguldījumus gala saņēmējos pret paredzētajiem ieguldījumiem gala saņēmējos vismaz 70% apmērā no attiecīgā fonda kapitāla, kas paredzēts ieguldījumiem gala saņēmējos, ievērojot investīciju perioda efektīvo laiku: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5.2.</w:t>
      </w:r>
      <w:r w:rsidR="00000000" w:rsidRPr="00000000" w:rsidDel="00000000">
        <w:rPr>
          <w:rtl w:val="0"/>
        </w:rPr>
        <w:t xml:space="preserve"> apakšpunktā minētā finansējuma attiecināmas izmaksas, kas nav attiecināmas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2.1.</w:t>
      </w:r>
      <w:r w:rsidR="00000000" w:rsidRPr="00000000" w:rsidDel="00000000">
        <w:rPr>
          <w:rtl w:val="0"/>
        </w:rPr>
        <w:t xml:space="preserve"> apakšpunkta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starpniekam katrā iespējkapitāla fondā jāpiesaista finansējums no neatkarīga privāta ieguldītāja, kurš atbilst Komisijas regulas Nr.  </w:t>
      </w:r>
      <w:r w:rsidR="00000000" w:rsidRPr="00000000" w:rsidDel="00000000">
        <w:rPr>
          <w:rtl w:val="0"/>
        </w:rPr>
        <w:t xml:space="preserve">651/2014</w:t>
      </w:r>
      <w:r w:rsidR="00000000" w:rsidRPr="00000000" w:rsidDel="00000000">
        <w:rPr>
          <w:rtl w:val="0"/>
        </w:rPr>
        <w:t xml:space="preserve"> 2. panta 72. punktā noteiktajai definīcijai (turpmāk – privātais ieguldītājs), šādā apmērā: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 apmērā no katra jaunuzņēmumu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 apmērā no sākuma stadijas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40 % apmērā no izaugsmes stadijas iespējkapitāla fonda kopējā apjoma.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finanšu starpnieks nepiesaista finansējumu pārvaldītajam iespējkapitāla fondam atbilstoši šo noteikumu </w:t>
      </w:r>
      <w:r w:rsidR="00000000" w:rsidRPr="00000000" w:rsidDel="00000000">
        <w:rPr>
          <w:rtl w:val="0"/>
        </w:rPr>
        <w:t xml:space="preserve">6.</w:t>
      </w:r>
      <w:r w:rsidR="00000000" w:rsidRPr="00000000" w:rsidDel="00000000">
        <w:rPr>
          <w:rtl w:val="0"/>
        </w:rPr>
        <w:t xml:space="preserve"> punktam</w:t>
      </w:r>
      <w:r w:rsidR="00000000" w:rsidRPr="00000000" w:rsidDel="00000000">
        <w:rPr>
          <w:rtl w:val="0"/>
        </w:rPr>
        <w:t xml:space="preserve">, sabiedrībai Altum ir tiesības atlikušo finanšu starpniekam paredzēto finansējumu novirzīt cita finanšu starpnieka pārvaldītajam iespējkapitāla fondam vai – pēc saskaņošanas ar Ekonomikas ministriju – citam normatīvajā aktā, kas nosaka Eiropas Savienības kohēzijas politikas programmas 2021.–2027. gadam ietvaros izmantojamo finanšu instrumentu īstenošanas kārtību, pieejamo finansējumu, atbalstāmās darbības un attiecināmās izmaksas, minētajam pasākumam atbilstoši normatīvajos aktos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ietvaros pēc atbalsta piešķiršanas vismaz 70 % no katra jaunuzņēmumu iespējkapitāla fonda atbalstītajiem gala saņēmējiem ir nodrošinājuši līdzekļus pētniecībai un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vērtējot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 kārtībā iesniegtās finanšu starpnieku ieguldījumu stratēģijas, augstāku prioritāti piešķir tām stratēģijām, kas paredz: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koncentrēšanos uz eksportspējīgiem uzņēmumiem un Latvijas eksporta apjomu palielināšanu;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ieguldījumus pētniecībā un attīstībā, pārsniedzot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prasību;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akcelerāciju jaunuzņēmumu iespējkapitāla fondu gadījumā.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starpniekus atlasa atklātā, pārredzamā un nediskriminējošā atlases procedūrā, ievērojot Komisijas regulas Nr.  </w:t>
      </w:r>
      <w:r w:rsidR="00000000" w:rsidRPr="00000000" w:rsidDel="00000000">
        <w:rPr>
          <w:rtl w:val="0"/>
        </w:rPr>
        <w:t xml:space="preserve">651/2014</w:t>
      </w:r>
      <w:r w:rsidR="00000000" w:rsidRPr="00000000" w:rsidDel="00000000">
        <w:rPr>
          <w:rtl w:val="0"/>
        </w:rPr>
        <w:t xml:space="preserve"> 21. panta 14. punktā minētos nosacījumus un piemērojot publisko iepirkumu regulējošo normatīvo aktu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Sabiedrībai Altum ir pienākums sniegt Ekonomikas ministrijai informāciju par finanšu starpnieku atlases procedūru un izvirzītajiem kritērijiem, kā arī aktuālo informāciju, kas saistīta ar programmas ieviešanu un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tam kad sabiedrība Altum ir veikusi finanšu starpnieku atlasi, tie dibina iespējkapitāla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pārvalda šo noteikumu ietvaros izveidotos sākuma un izaugsmes stadijas iespējkapitāla fondus, pamatojoties uz komerciāliem principiem un piemērojot labāko nozares praksi atbilstoši Eiropas Iespējkapitāla asociācijas </w:t>
      </w:r>
      <w:r w:rsidR="00000000" w:rsidRPr="00000000" w:rsidDel="00000000">
        <w:rPr>
          <w:i w:val="1"/>
          <w:rtl w:val="0"/>
        </w:rPr>
        <w:t xml:space="preserve">InvestEurope</w:t>
      </w:r>
      <w:r w:rsidR="00000000" w:rsidRPr="00000000" w:rsidDel="00000000">
        <w:rPr>
          <w:rtl w:val="0"/>
        </w:rPr>
        <w:t xml:space="preserve"> izstrādātajiem metodiskajiem materiāliem.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Iespējkapitāla fonda ienākumus, kas gūti no ieguldījumu realizācijas, vai zaudējumus visi šo fondu dalībnieki, tai skaitā sabiedrība Altum, sadala, ievērojot Komisijas regulas Nr.  </w:t>
      </w:r>
      <w:r w:rsidR="00000000" w:rsidRPr="00000000" w:rsidDel="00000000">
        <w:rPr>
          <w:rtl w:val="0"/>
        </w:rPr>
        <w:t xml:space="preserve">651/2014</w:t>
      </w:r>
      <w:r w:rsidR="00000000" w:rsidRPr="00000000" w:rsidDel="00000000">
        <w:rPr>
          <w:rtl w:val="0"/>
        </w:rPr>
        <w:t xml:space="preserve"> 21. panta 10. punktu un noslēgtā komandītsabiedrības līguma nosacījumus par iespējkapitāla fonda ienākumu un zaudējumu sadali.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pārvaldot iespējkapitāla fondus, ievēro Komisijas regulas Nr.  </w:t>
      </w:r>
      <w:r w:rsidR="00000000" w:rsidRPr="00000000" w:rsidDel="00000000">
        <w:rPr>
          <w:rtl w:val="0"/>
        </w:rPr>
        <w:t xml:space="preserve">651/2014</w:t>
      </w:r>
      <w:r w:rsidR="00000000" w:rsidRPr="00000000" w:rsidDel="00000000">
        <w:rPr>
          <w:rtl w:val="0"/>
        </w:rPr>
        <w:t xml:space="preserve"> 21. panta 11. punktā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Pieņemot lēmumu par atbalsta piešķiršanu, finanšu starpnieki nodrošina un atbild par to, ka tiek pienācīgi ievēroti finanšu starpniekiem saistošie normatīvie akti noziedzīgi iegūtu līdzekļu legalizācijas un terorisma un proliferācijas finansēšanas novēršanas jomā un sankciju ievērošanas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Finanšu starpnieki ieguldījuma piešķiršanas brīdī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Nr. 2018/1046), 61. panta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Finanšu starpnieks, pieņemot lēmumu par atbalsta piešķiršanu gala saņēmējam, pārliecinās, ka tiek ievēroti regulas Nr.  </w:t>
      </w:r>
      <w:r w:rsidR="00000000" w:rsidRPr="00000000" w:rsidDel="00000000">
        <w:rPr>
          <w:rtl w:val="0"/>
        </w:rPr>
        <w:t xml:space="preserve">2018/1046</w:t>
      </w:r>
      <w:r w:rsidR="00000000" w:rsidRPr="00000000" w:rsidDel="00000000">
        <w:rPr>
          <w:rtl w:val="0"/>
        </w:rPr>
        <w:t xml:space="preserve"> 209. panta 1. punktā noteiktie principi.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šo noteikumu ietvaros sniedz atbalstu ekonomiski dzīvotspējīgiem gala saņēmējiem saskaņā ar Eiropas Parlamenta un Padomes 2021. gada 24. jūnija Regulas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58. panta 2. punktā un 7. punktā un 59. panta 7. punktā noteiktajām prasībām, kā arī atbilstoši finanšu starpnieku ieguldījumu stratēģijām un lēmumus par atbalsta sniegšanu pieņem saskaņā ar nozares labo praksi un šajos noteikumos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finanšu starpnieka atbalstu Latvijā uzskatāms atbalsts gala saņēmējam, kurš atbalsta piešķiršanas brīdī atbilst vismaz vienam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vismaz vienu no saimnieciskās darbības aktivitātēm (piemēram, pētniecība un attīstība, pārdošana un/vai pakalpojumu sniegšana no Latvijas, ražošana, prototipēšana vai testēšana, pārdošana) īsteno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reģistrēts Latvijas Republikā.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šo noteikumu ietvaros finanšu starpnieki piešķir gala saņēmējiem komandītsabiedrības līgumā noteiktajā termiņā – līdz 10 gadiem.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gala saņēmējs neatbilst šo noteikumu </w:t>
      </w:r>
      <w:r w:rsidR="00000000" w:rsidRPr="00000000" w:rsidDel="00000000">
        <w:rPr>
          <w:rtl w:val="0"/>
        </w:rPr>
        <w:t xml:space="preserve">2.1.2.</w:t>
      </w:r>
      <w:r w:rsidR="00000000" w:rsidRPr="00000000" w:rsidDel="00000000">
        <w:rPr>
          <w:rtl w:val="0"/>
        </w:rPr>
        <w:t xml:space="preserve"> apakšpunktā noteiktajām prasībām, tad atbalstu var piešķirt kā </w:t>
      </w:r>
      <w:r w:rsidR="00000000" w:rsidRPr="00000000" w:rsidDel="00000000">
        <w:rPr>
          <w:i w:val="1"/>
          <w:rtl w:val="0"/>
        </w:rPr>
        <w:t xml:space="preserve">de minimis</w:t>
      </w:r>
      <w:r w:rsidR="00000000" w:rsidRPr="00000000" w:rsidDel="00000000">
        <w:rPr>
          <w:rtl w:val="0"/>
        </w:rPr>
        <w:t xml:space="preserve"> atbalstu atbilstoši Komisijas regulas Nr. 651/2014 21. panta 18. punktam, ievērojot,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Komisijas regulas Nr. 651/2014 21. panta 18. punkta "a" apakšpunktu jāizpilda nosacījumi atbilstoši Komisijas regulai Nr. 2023/2831. Atbalstu vienam vienotam uzņēmumam piešķir, nepārsniedzot Komisijas regulas Nr. 2023/2831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ievērojot Komisijas regulas Nr. 2023/2831 3. panta 8. punkta nosacījumus uzņēmumu apvienošanās vai iegādes gadījumā un Komisijas regulas Nr. 2023/2831 3. panta 9. punkta nosacījumus uzņēmuma sadalīšanas gadījumā. Viens vienots uzņēmums ir uzņēmums, kas atbilst Komisijas regulas Nr. 2023/2831 2. panta 2. punktā minētajiem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izpildīts Komisijas regulas Nr. 651/2014 21. panta 18. punkta "b" apakšpunkts;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Komisijas regulas Nr. 651/2014 21. panta 18. punkta "c" apakšpunktu jāpiesaista papildu finansējums no Komisijas regulas Nr. 651/2014 2. panta 72. punktā definētā neatkarīgā privātā ieguldītāja finanšu starpnieka vai gala saņēmēja līmenī, lai panāktu privātās līdzdalības kopējo īpatsvaru, kas sēklas kapitāla, sākuma kapitāla vai izaugsmes kapitāla ieguldījumu veidā gala saņēmējā MVU grupas līmenī sasniedz: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60 procentus, ja kā finansējuma avots tiek izmantots šo noteikumu </w:t>
      </w:r>
      <w:r w:rsidR="00000000" w:rsidRPr="00000000" w:rsidDel="00000000">
        <w:rPr>
          <w:rtl w:val="0"/>
        </w:rPr>
        <w:t xml:space="preserve">5.2.</w:t>
      </w:r>
      <w:r w:rsidR="00000000" w:rsidRPr="00000000" w:rsidDel="00000000">
        <w:rPr>
          <w:rtl w:val="0"/>
        </w:rPr>
        <w:t xml:space="preserve"> apakšpunktā minētais finansējums atbalstam, kas sniegts ārpus Latvijas, vai atbalstam, kas sniegts Latvijā no 2028. gada 1. janvāra;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procentus, ja kā finansējuma avots tiek izmantots šo noteikumu </w:t>
      </w:r>
      <w:r w:rsidR="00000000" w:rsidRPr="00000000" w:rsidDel="00000000">
        <w:rPr>
          <w:rtl w:val="0"/>
        </w:rPr>
        <w:t xml:space="preserve">5.1.</w:t>
      </w:r>
      <w:r w:rsidR="00000000" w:rsidRPr="00000000" w:rsidDel="00000000">
        <w:rPr>
          <w:rtl w:val="0"/>
        </w:rPr>
        <w:t xml:space="preserve"> vai </w:t>
      </w:r>
      <w:r w:rsidR="00000000" w:rsidRPr="00000000" w:rsidDel="00000000">
        <w:rPr>
          <w:rtl w:val="0"/>
        </w:rPr>
        <w:t xml:space="preserve">5.2.</w:t>
      </w:r>
      <w:r w:rsidR="00000000" w:rsidRPr="00000000" w:rsidDel="00000000">
        <w:rPr>
          <w:rtl w:val="0"/>
        </w:rPr>
        <w:t xml:space="preserve"> apakšpunktā minētais finansējums un atbalsts tiek sniegts Latvijā līdz 2027.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gala saņēmējs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uzskaites veidlapu paraugiem;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 ieklaujot </w:t>
      </w:r>
      <w:r w:rsidR="00000000" w:rsidRPr="00000000" w:rsidDel="00000000">
        <w:rPr>
          <w:i w:val="1"/>
          <w:rtl w:val="0"/>
        </w:rPr>
        <w:t xml:space="preserve">de minimis</w:t>
      </w:r>
      <w:r w:rsidR="00000000" w:rsidRPr="00000000" w:rsidDel="00000000">
        <w:rPr>
          <w:rtl w:val="0"/>
        </w:rPr>
        <w:t xml:space="preserve"> atbalsta piešķiršanas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šo noteikumu ietvaros minētie iespējkapitāla fondi nesniedz šādām gala saņēmēju darbībām un nozarēm: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darbībām un nozarēm, kas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darbībām un nozarēm, kas noteiktas Komisijas regulas Nr.  </w:t>
      </w:r>
      <w:r w:rsidR="00000000" w:rsidRPr="00000000" w:rsidDel="00000000">
        <w:rPr>
          <w:rtl w:val="0"/>
        </w:rPr>
        <w:t xml:space="preserve">651/2014</w:t>
      </w:r>
      <w:r w:rsidR="00000000" w:rsidRPr="00000000" w:rsidDel="00000000">
        <w:rPr>
          <w:rtl w:val="0"/>
        </w:rPr>
        <w:t xml:space="preserve"> 1. panta 3. punkta "a", "b",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 un, ja uz komersantu attiecas neizpildīts līdzekļu atgūšanas rīkojums saskaņā ar iepriekšēju Eiropas Komisijas lēmumu, – atbilstoši Komisijas regulas Nr.  </w:t>
      </w:r>
      <w:r w:rsidR="00000000" w:rsidRPr="00000000" w:rsidDel="00000000">
        <w:rPr>
          <w:rtl w:val="0"/>
        </w:rPr>
        <w:t xml:space="preserve">651/2014</w:t>
      </w:r>
      <w:r w:rsidR="00000000" w:rsidRPr="00000000" w:rsidDel="00000000">
        <w:rPr>
          <w:rtl w:val="0"/>
        </w:rPr>
        <w:t xml:space="preserve"> 1. panta 4. punkta "a"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darbībām un nozarēm, kas noteiktas Eiropas Parlamenta un Padomes Regulas (ES) Nr.  </w:t>
      </w:r>
      <w:r w:rsidR="00000000" w:rsidRPr="00000000" w:rsidDel="00000000">
        <w:rPr>
          <w:rtl w:val="0"/>
        </w:rPr>
        <w:t xml:space="preserve">2021/1058</w:t>
      </w:r>
      <w:r w:rsidR="00000000" w:rsidRPr="00000000" w:rsidDel="00000000">
        <w:rPr>
          <w:rtl w:val="0"/>
        </w:rPr>
        <w:t xml:space="preserve"> par Eiropas Reģionālās attīstības fondu un Kohēzijas fondu 7. panta 1. 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esošu vai jaunu saistību dzēšanai, tai skaitā parāda procentiem saskaņā ar regulas Nr.  </w:t>
      </w:r>
      <w:r w:rsidR="00000000" w:rsidRPr="00000000" w:rsidDel="00000000">
        <w:rPr>
          <w:rtl w:val="0"/>
        </w:rPr>
        <w:t xml:space="preserve">2021/1060</w:t>
      </w:r>
      <w:r w:rsidR="00000000" w:rsidRPr="00000000" w:rsidDel="00000000">
        <w:rPr>
          <w:rtl w:val="0"/>
        </w:rPr>
        <w:t xml:space="preserve"> 64. panta 1. punkta "a"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iegādei, ja zemes iegādes maksa pārsniedz 10 % no atbalsta kopējā apmēra gala saņēmējam vai 15 % no atbalsta kopējā apmēra gala saņēmējam, ja zeme atrodas pamestā teritorijā vai bijušās rūpniecības teritorijā, kurā ir ēkas, saskaņā ar regulas Nr.  </w:t>
      </w:r>
      <w:r w:rsidR="00000000" w:rsidRPr="00000000" w:rsidDel="00000000">
        <w:rPr>
          <w:rtl w:val="0"/>
        </w:rPr>
        <w:t xml:space="preserve">2021/1060</w:t>
      </w:r>
      <w:r w:rsidR="00000000" w:rsidRPr="00000000" w:rsidDel="00000000">
        <w:rPr>
          <w:rtl w:val="0"/>
        </w:rPr>
        <w:t xml:space="preserve"> 64. panta 1. punkta "b"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saskaņā ar šo noteikumu 30.</w:t>
      </w:r>
      <w:r w:rsidR="00000000" w:rsidRPr="00000000" w:rsidDel="00000000">
        <w:rPr>
          <w:vertAlign w:val="superscript"/>
          <w:rtl w:val="0"/>
        </w:rPr>
        <w:t xml:space="preserve">1</w:t>
      </w:r>
      <w:r w:rsidR="00000000" w:rsidRPr="00000000" w:rsidDel="00000000">
        <w:rPr>
          <w:rtl w:val="0"/>
        </w:rPr>
        <w:t xml:space="preserve"> un 38.</w:t>
      </w:r>
      <w:r w:rsidR="00000000" w:rsidRPr="00000000" w:rsidDel="00000000">
        <w:rPr>
          <w:vertAlign w:val="superscript"/>
          <w:rtl w:val="0"/>
        </w:rPr>
        <w:t xml:space="preserve">1</w:t>
      </w:r>
      <w:r w:rsidR="00000000" w:rsidRPr="00000000" w:rsidDel="00000000">
        <w:rPr>
          <w:rtl w:val="0"/>
        </w:rPr>
        <w:t xml:space="preserve"> punktu nepiešķir Komisijas regulas Nr. 2023/2831 1. panta 1. punktā noteiktajām nozarēm un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gala saņēmējs vienlaikus darbojas šo noteikumu ietvaros atbalstāmajās un neatbalstāmajās nozarēs un darbības jomās, tas nodrošina, ka darbības vai izmaksas minētajās nozarēs tiek nošķirtas saskaņā ar Komisijas regulas Nr. </w:t>
      </w:r>
      <w:r w:rsidR="00000000" w:rsidRPr="00000000" w:rsidDel="00000000">
        <w:rPr>
          <w:rtl w:val="0"/>
        </w:rPr>
        <w:t xml:space="preserve">651/2014</w:t>
      </w:r>
      <w:r w:rsidR="00000000" w:rsidRPr="00000000" w:rsidDel="00000000">
        <w:rPr>
          <w:rtl w:val="0"/>
        </w:rPr>
        <w:t xml:space="preserve"> 1. panta 3. punktu vai Komisijas regulas Nr. 2023/2831 1. panta 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Atbalsts jaunuzņēmumu iespējkapitāla fondos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gala saņēmējiem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var saņemt gala saņēmējs, kas mikrouzņēmumu, mazo un vidējo uzņēmumu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apakšpunktā, "b" apakšpunkta "i" punktā un "c" apakšpunktā un 4. punktā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Jaunuzņēmumu iespējkapitāla fondos atbalstu 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vismaz 50 % apmērā no fonda kopējā sēklas naudas atbalsta apjoma. Atlikušais fonda kopējā sēklas naudas atbalsta apjoms tiek sadalīts to gala saņēmēju starpā, kuru saimnieciskās darbības vieta atbalsta piešķiršanas brīdī ir Eiropas Savienība.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starpniekam ar sēklas naudas atbalstu prioritāri jāveicina to gala saņēmēju turpmākā attīstība, kuri šo noteikumu ietvaros ir saņēmuši pirmssēklas naudas atbalstu vai kuri ir saņēmuši atbalstu no citiem sabiedrības Altum kapitalizētajiem fondiem.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maksimālā summa jaunuzņēmumu iespējkapitāla fondā vienam gala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ir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ir 1 500 000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Katrs jaunuzņēmumu iespējkapitāla fonds sniedz pirmssēklas naudas atbalstu vismaz 15 % apmērā no fonda kopējā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Kopējais privāto ieguldītāju līdzfinansējuma apmērs pirmssēklas naudas un sēklas naudas atbalstam gala saņēmēju vai finanšu starpnieku līmenī atbilst Komisijas regulas Nr.  </w:t>
      </w:r>
      <w:r w:rsidR="00000000" w:rsidRPr="00000000" w:rsidDel="00000000">
        <w:rPr>
          <w:rtl w:val="0"/>
        </w:rPr>
        <w:t xml:space="preserve">651/2014</w:t>
      </w:r>
      <w:r w:rsidR="00000000" w:rsidRPr="00000000" w:rsidDel="00000000">
        <w:rPr>
          <w:rtl w:val="0"/>
        </w:rPr>
        <w:t xml:space="preserve"> 21. panta 12. punktā noteiktajiem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Atbalsts sākuma un izaugsmes stadijas iespējkapitāla fondos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Sākuma un izaugsmes stadijas iespējkapitāla fondu atbalstu gala saņēmējiem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Sākuma un izaugsmes stadijas iespējkapitāla fonda atbalstu var saņemt gala saņēmējs, kas mikrouzņēmumu, mazo un vidējo uzņēmumu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apakšpunktā, "b" apakšpunkta "i" punktā un "c" apakšpunktā un 4. punktā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sākuma stadijas iespējkapitāla fondos sniedz gala saņēmējam, lai atbalstītu gala saņēmēja attīstību un agrīno izaugsmi.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izaugsmes stadijas iespējkapitāla fondos gala saņēmējam sniedz, lai atbalstītu (tai skaitā finansētu) gala saņēmēja izaugsmi un konkurētspēju.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Atbalsta maksimālā summa vienam gala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stadijas iespējkapitāla fondā ir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izaugsmes stadijas iespējkapitāla fondā ir 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Sākuma un izaugsmes stadijas iespējkapitāla fonds vienam gala saņēmējam sniedz atbalstu, kura kopējais apmērs nepārsniedz 15 % no sākuma vai izaugsmes stadijas iespējkapitāla fonda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Sākuma un izaugsmes stadijas iespējkapitāla fondi vismaz 50 % apmērā no katra fonda kopējā atbalsta apmēra sniedz atbalstu tādiem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Sākuma un izaugsmes stadijas iespējkapitāla fondi var sniegt atbalstu arī tādiem gala saņēmējiem, kuri neatbilst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bet veic saimniecisko darbību Eiropas Savienībā. Šāda atbalsta apjoms nepārsniedz 50 % no katra sākuma vai izaugsmes stadijas iespējkapitāla fonda kopējā atbalsta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Kopējais privāto ieguldītāju līdzfinansējuma apmērs sākuma un izaugsmes stadijas iespējkapitāla fondu sniegtajā atbalstā gala saņēmēju vai finanšu starpnieku līmenī atbilst Komisijas regulas Nr.  </w:t>
      </w:r>
      <w:r w:rsidR="00000000" w:rsidRPr="00000000" w:rsidDel="00000000">
        <w:rPr>
          <w:rtl w:val="0"/>
        </w:rPr>
        <w:t xml:space="preserve">651/2014</w:t>
      </w:r>
      <w:r w:rsidR="00000000" w:rsidRPr="00000000" w:rsidDel="00000000">
        <w:rPr>
          <w:rtl w:val="0"/>
        </w:rPr>
        <w:t xml:space="preserve"> 21. panta 12. punktā noteiktajiem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ietvaros piešķirtā atbalsta apmērs atbilstoši Komisijas regulas Nr. </w:t>
      </w:r>
      <w:r w:rsidR="00000000" w:rsidRPr="00000000" w:rsidDel="00000000">
        <w:rPr>
          <w:rtl w:val="0"/>
        </w:rPr>
        <w:t xml:space="preserve">651/2014</w:t>
      </w:r>
      <w:r w:rsidR="00000000" w:rsidRPr="00000000" w:rsidDel="00000000">
        <w:rPr>
          <w:rtl w:val="0"/>
        </w:rPr>
        <w:t xml:space="preserve"> 21. pantam ir vienāds ar jaunuzņēmumu, sākuma stadijas vai izaugsmes stadijas iespējkapitāla fonda ieguldījuma apmēru, izņemot gadījumu, ja atbalsts tiek sniegts kā kvazikapitāla sākotnējais ieguldījums saskaņā ar Komisijas regulas Nr. 651/2014 2. panta 66. punktā noteikto definīciju un Komisijas regulas Nr. 651/2014 21. panta 17. punktu. Tādā gadījumā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apmērā vai ne mazāk kā 1000 bāzes punktu nenodrošinātam aizdevumam.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Atbalstu, kas šo noteikumu ietvaros piešķirts saskaņā ar Komisijas regulas Nr. 651/2014 21. pantu, ievērojot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punktu, drīkst apvienot: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citu riska finansējuma atbalstu, ievērojot Komisijas regulas Nr. 651/2014 21. panta 8. punktā noteikto maksimālo riska finansējuma atbalsta apmēru un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minēto publiskā un privātā finansējuma principu;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citu valsts atbalsta programmas vai individuālā atbalsta projekta ietvaros vai Eiropas Komisijas lēmuma ietvaros piešķirto finansējumu, nepārsniedzot attiecīgajā valsts atbalsta programmā, individuālā atbalsta projektā vai Eiropas Komisijas lēmumā paredzēto finansējuma intensitāti un apmēru, kā arī nepārsniedzot maksimālā publiskā finansējuma apmēru un maksimālo robežvērtību, kas noteikta attiecīgajā valsts atbalsta programmā, individuālā atbalsta projektā vai Eiropas Komisijas lēmumā (izņemot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kas piešķirts vienam un tam pašam mērķim, ja citas valsts atbalsta programmas sniegtais atbalsts tiek finansēts no Eiropas Savienības fondu līdzekļiem.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saimnieciskās darbības veicējs plāno veikt atbalsta kumulāciju (izņemot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atbalsta apvienošanas ierobežojumu), tad informāciju par plānoto vai piešķirto komercdarbības atbalstu, norādot atbalsta piešķiršanas datumu, atbalsta sniedzēju, atbalsta pasākumu, atbalsta intensitāti un plānoto vai piešķirto atbalsta summu, iesniedz kopā ar projektu.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Atbalsta uzskaite un atgūšana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atbalsta saņēmējam ir pienākums atmaksāt sabiedrībai Altum visu atbalsta ietvaros saņemto nelikumīgo komercdarbības atbalstu no līdzekļiem, kas ir brīvi no valsts atbalsta, atbilstoši Komercdarbības atbalsta kontroles likuma IV vai V nodaļā minētajiem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Sabiedrība Altum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par izsniegto atbalstu uzskaiti un glabāšanu 10 gadus no dienas, kad atbilstoši šiem noteikumiem ir piešķirts pēdējais atbalsts, kā arī pēc pieprasījuma iesniedz šo informāciju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publicēšanu par šo noteikumu ietvaros izsniegto atbalstu atbilstoši Komisijas regulas Nr.  </w:t>
      </w:r>
      <w:r w:rsidR="00000000" w:rsidRPr="00000000" w:rsidDel="00000000">
        <w:rPr>
          <w:rtl w:val="0"/>
        </w:rPr>
        <w:t xml:space="preserve">651/2014</w:t>
      </w:r>
      <w:r w:rsidR="00000000" w:rsidRPr="00000000" w:rsidDel="00000000">
        <w:rPr>
          <w:rtl w:val="0"/>
        </w:rPr>
        <w:t xml:space="preserve"> 9. panta 1., 2. un 4. punktam, ievērojot normatīvo aktu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šo noteikumu ietvaros sniegtā atbalsta uzskaiti (tai skaitā detalizētu informatīvu un pamatojošu dokumentāciju, kas nepieciešama, lai noteiktu, ka ir izpildīti šajos noteikumos minētie nosacījumi) un pēc pieprasījuma iesniedz šo informāciju sabiedrībā Altum vai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dokumentāciju (arī ar uzskaiti saistīto dokumentāciju) glabā 10 gadus no dienas, kad atbilstoši šiem noteikumiem ir piešķirts pēdējais atbalsts.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Gala saņēmējs informācijas uzskaiti par saņemto atbalstu glabā 10 gadus no dienas, kad tam šo noteikumu ietvaros ir piešķirts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Līgumus par iespējkapitāla fondiem ar finanšu starpniekiem slēdz sešu mēnešu laikā no Komisijas regulas Nr.  </w:t>
      </w:r>
      <w:r w:rsidR="00000000" w:rsidRPr="00000000" w:rsidDel="00000000">
        <w:rPr>
          <w:rtl w:val="0"/>
        </w:rPr>
        <w:t xml:space="preserve">651/2014</w:t>
      </w:r>
      <w:r w:rsidR="00000000" w:rsidRPr="00000000" w:rsidDel="00000000">
        <w:rPr>
          <w:rtl w:val="0"/>
        </w:rPr>
        <w:t xml:space="preserve"> darbības beigām saskaņā ar Komisijas regulas Nr.  </w:t>
      </w:r>
      <w:r w:rsidR="00000000" w:rsidRPr="00000000" w:rsidDel="00000000">
        <w:rPr>
          <w:rtl w:val="0"/>
        </w:rPr>
        <w:t xml:space="preserve">651/2014</w:t>
      </w:r>
      <w:r w:rsidR="00000000" w:rsidRPr="00000000" w:rsidDel="00000000">
        <w:rPr>
          <w:rtl w:val="0"/>
        </w:rPr>
        <w:t xml:space="preserve"> 58. panta 4.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24-TA-247</w:t>
    </w:r>
    <w:r>
      <w:br/>
    </w:r>
    <w:r w:rsidR="00000000" w:rsidRPr="00000000" w:rsidDel="00000000">
      <w:rPr>
        <w:rtl w:val="0"/>
      </w:rPr>
      <w:t xml:space="preserve">Izdrukāts 29.07.2026. 22.10 - 2.0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24-TA-247</w:t>
    </w:r>
    <w:r>
      <w:br/>
    </w:r>
    <w:r w:rsidR="00000000" w:rsidRPr="00000000" w:rsidDel="00000000">
      <w:rPr>
        <w:rtl w:val="0"/>
      </w:rPr>
      <w:t xml:space="preserve">Izdrukāts 29.07.2026. 22.10 - 2.0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noteikumu_konsolidētā_versija_24-TA-247.docx</dc:title>
</cp:coreProperties>
</file>

<file path=docProps/custom.xml><?xml version="1.0" encoding="utf-8"?>
<Properties xmlns="http://schemas.openxmlformats.org/officeDocument/2006/custom-properties" xmlns:vt="http://schemas.openxmlformats.org/officeDocument/2006/docPropsVTypes"/>
</file>