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matemātikas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īsu vai strukturētu tekstu ar aktuālu matemātisku kontekstu un raksturo tekstā būtisko, saistību starp teksta daļām, demonstrējot izpratni par tajā iekļautajiem jēdzieniem, pieņemto simbolu un apzīmējumu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izvērstu matemātisku tekstu ar aktuālu matemātisku kontekstu un raksturo tā saturu, demonstrējot izpratni par tajā iekļautajiem jēdzieniem, pieņemto simbolu, apzīmējumu un matemātikai raksturīgo izteikumu formu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daļēji pazīstama satura izvērstu matemātisku tekstu, nepazīstamu jēdzienu, simbolu vai apzīmējumu nozīmi noskaidro papildu avotos vai izmanto izpratni par teksta saturu kopumā, raksturo teksta mērķi un kritiski izvērtē satura atbilstību 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īsu matemātisku tekstu, kas saprotams citiem, korekti lieto svarīgākos jēdzienus, pieņemtos simbolus un apzīmējumus, lai raksturotu matemātisko objektu īpašības, lielumus un sakarības starp tiem, aprakstītu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izvērstu matemātisku tekstu konkrētai auditorijai, korekti lieto izmantotos jēdzienus, pieņemtos simbolus un apzīmējumus, lai pamatotu matemātisko objektu īpašības, formulētu idejas un raksturotu saistību starp tām, aprakstītu risinājumus un lietotos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Veido izvērstu matemātisku tekstu zinātniskajā valodā, ņemot vērā auditorijas sastāvu, lai raksturotu, skaidrotu un argumentētu idejas, aprakstītu pētāmo problēmu, pētījuma mērķi un gaitu, pamatotu iegūtos rezultātus un secinājumus.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Dažādi attēlošanas veidi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Lieto situācijai piemērotu matemātisko objektu attēlošanas veidu (izteiksme, grafiks, tabula, skice, grafs (koks), Eilera-Venna diagramma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salīdzina dažādus situācijai noderīgus matemātisko objektu attēlošanas veidus, izvēlas piemērotāko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Vispārīgi raksturo matemātisko objektu dažādu attēlošanas veidu lietojuma priekšrocības un ierobežojumus matemātisku problēmu risināšanā.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Konkrētos piemēros skaidro matemātisku izteiksmju identiskos pārveidojumus un vienādojumu un nevienādību ekvivalentos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Skaidro matemātisku izteiksmju identiskos pārveidojumus un vienādojumu, nevienādību un to sistēmu ekvivalentos pārveidojumus; konkrētos piemēros skaidro neekvivalentus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Raksturo un pamato ekvivalentu un neekvivalentu pārveidojumu lietojumu vienādojumu, nevienādību un to sistēmu atrisināšanai.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Konkrētos piemēros skaidro taisnes un vektora attēlošanu koordinātu plaknē un analītisko pierakstu, vienkāršākajos gadījumos pāriet no viena attēlošanas veida uz otru.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Skaidro taisnes, riņķa līnijas un vektora attēlošanu koordinātu plaknē un analītisko pierakstu; pāriet no viena attēlošanas veida uz otru,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Raksturo iespējas koordinātu plaknē attēlotu līniju/plaknes figūru aprakstīt analītiski un otrādi – vienādojumu ar diviem mainīgajiem attēlot koordinātu plaknē. Veido spriedumus, vienu un to pašu matemātisko modeli attēlojot koordinātu plaknē un pierakstot analītiski.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Saskata un skaidro saistību starp dažādu matemātikas apakšnozaru apgūtajiem elementiem (vektors un paralēlā pārnese, ģeometriskā progresija un eksponentfunkcija u. tml.) un to attēlošanu.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Lieto saistību starp dažādu matemātikas apakšnozaru apgūtajiem elementiem, lai tos skaidrotu, attēlotu, noteiktu nezināmos lielumus un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Formulē un pamato apgalvojumus, izmantojot saistību starp dažādu matemātikas apakšnozaru apgūtajiem elementiem.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atvasinājumu un integrāli, izmantojot gan to fizikālo, gan ģeometrisko nozīmi.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situācijā, kuras matemātiskais konteksts ir vienkāršs, raksturo lielumus un saistību starp tiem, spriež un lieto jau apgūtās zināšanas un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Ievērojot jaunās situācijas kontekstu, raksturo kopīgo un atšķirīgo ar līdzīgām, agrāk aplūkotām situācijām un secina par zināšanām, prasmēm un paņēmieniem, kas noderīgi problēmas atrisināšanai.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kompleksā situācijā spriež, formulē uz situācijas analīzi vērstus jautājumus, secina gan par iepriekšējo zināšanu, prasmju un paņēmienu lietošanas iespējām, gan to nepietiekamību un formulē, kāda informācija vai kādas jaunas zināšanas nepieciešamas.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spriež un formulē pieņēmumu, pamatojoties uz konkrētiem piemēriem un to pārbaudi, apzinoties, ka pieņēmuma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apzinoties, ka vispārīgu apgalvojumu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pierāda formulēto vispārīgo apgalvojumu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ko nozīmē risināt vienādojumu un nevienādību ar parametru.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Matemātiskā modelēšana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Lieto pazīstamu matemātisko modeli, lai atrisinātu problēmu ar praktisku vai ar citu mācību jomu kontekstu. Pēc norādēm izvērtē iespējas lietot konkrētās zināšanas vai matemātisko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Veic visus matemātiskās modelēšanas soļus, lai atrisinātu problēmu ar citu mācību jomu vai matemātisku kontekstu. Izvērtē dažādu matemātisko modeļu lietojumu,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Formulē pētāmo jautājumu sev nozīmīgā kontekstā un veic visus matemātiskās modelēšanas soļus, lai atrisinātu autentisku problēmu. Izvērtē iegūtos rezultātus un, ja nepieciešams, uzlabo matemātisko modeli.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Lieto pamatskolā apgūtos problēmrisināšanas paņēmienus (spriežu no beigām, sadalu problēmu daļās, pāreju uz līdzīgu, vienkāršāku problēmu u. tml.) situācijās ar vienkāršu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Argumentē problēmrisināšanas paņēmiena (spriežu no beigām, sadalu problēmu daļās, pāreju uz līdzīgu, vienkāršāku problēmu u. tml.) izvēli, lai atrisinātu problēmu ar pazīstamu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Apzina, izvērtē matemātikai raksturīgo problēmrisināšanas paņēmienu (spriežu no beigām, sadalu problēmu daļās, pāreju uz līdzīgu, vienkāršāku problēmu u. tml.) lietojumu, izstrādājot kompleksas problēmas risinājuma plānu.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Nosaka atsevišķa apgalvojuma par figūrām, matemātiskām izteiksmēm un sakarībām patiesumu. Demonstrē ieradumu atsaukties uz iepriekš pierādītiem apgalvojumiem, formulām.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pierādot vispārīgus apgalvojumus gan ar ģeometrijas, gan ar algebras saturu, loģiski saistot trīs un vairāk spriedumus, izmantojot zināmus vai iepriekš pierādītus apgalvojumus.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vienā pierādījumā saistot dažādu matemātikas apakšnozaru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Atrod pretpiemēru, lai pierādītu, ka apgalvojums nav patiess.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Veido un izvērtē pretpiemērus apgalvojuma patiesuma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Jaunās situācijās lieto pierādījumu no pretējā.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tiešā teorēma</w:t>
            </w:r>
            <w:r w:rsidR="00000000" w:rsidRPr="00000000" w:rsidDel="00000000">
              <w:rPr>
                <w:rtl w:val="0"/>
              </w:rPr>
              <w:t xml:space="preserve">, </w:t>
            </w:r>
            <w:r w:rsidR="00000000" w:rsidRPr="00000000" w:rsidDel="00000000">
              <w:rPr>
                <w:i w:val="1"/>
                <w:rtl w:val="0"/>
              </w:rPr>
              <w:t xml:space="preserve">apgrieztā teorēma</w:t>
            </w:r>
            <w:r w:rsidR="00000000" w:rsidRPr="00000000" w:rsidDel="00000000">
              <w:rPr>
                <w:rtl w:val="0"/>
              </w:rPr>
              <w:t xml:space="preserve">, formulē teorēmai apgriezto teorēmu un izvērtē tās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pietiekams nosacījums</w:t>
            </w:r>
            <w:r w:rsidR="00000000" w:rsidRPr="00000000" w:rsidDel="00000000">
              <w:rPr>
                <w:rtl w:val="0"/>
              </w:rPr>
              <w:t xml:space="preserve">, </w:t>
            </w:r>
            <w:r w:rsidR="00000000" w:rsidRPr="00000000" w:rsidDel="00000000">
              <w:rPr>
                <w:i w:val="1"/>
                <w:rtl w:val="0"/>
              </w:rPr>
              <w:t xml:space="preserve">nepieciešams nosacījums</w:t>
            </w:r>
            <w:r w:rsidR="00000000" w:rsidRPr="00000000" w:rsidDel="00000000">
              <w:rPr>
                <w:rtl w:val="0"/>
              </w:rPr>
              <w:t xml:space="preserve">, lieto izteikuma formu ".. tad un tikai tad ..", formulējot apgalvojumus, pierādot to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Lieto matemātiskās indukcijas principu, lai pierādītu vispārīgu apgalvojumu patiesumu.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Konkrētos piemēros skaidro, kas ir </w:t>
            </w:r>
            <w:r w:rsidR="00000000" w:rsidRPr="00000000" w:rsidDel="00000000">
              <w:rPr>
                <w:i w:val="1"/>
                <w:rtl w:val="0"/>
              </w:rPr>
              <w:t xml:space="preserve">n</w:t>
            </w:r>
            <w:r w:rsidR="00000000" w:rsidRPr="00000000" w:rsidDel="00000000">
              <w:rPr>
                <w:rtl w:val="0"/>
              </w:rPr>
              <w:t xml:space="preserve">-tās pakāpes saknes, logaritma skaitliskā vērtība un kā to iegūt, t. sk. ar digitāliem rīkiem, kā pakāpi ar racionālu kāpinātāju pierakstīt kā sakni un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Nosaka pakāpes ar racionālu kāpinātāju precīzo vai aptuveno vērtību no dota eksponentfunkcijas grafika un izmanto to konkrētu skaitļu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kas ir </w:t>
            </w:r>
            <w:r w:rsidR="00000000" w:rsidRPr="00000000" w:rsidDel="00000000">
              <w:rPr>
                <w:i w:val="1"/>
                <w:rtl w:val="0"/>
              </w:rPr>
              <w:t xml:space="preserve">n</w:t>
            </w:r>
            <w:r w:rsidR="00000000" w:rsidRPr="00000000" w:rsidDel="00000000">
              <w:rPr>
                <w:rtl w:val="0"/>
              </w:rPr>
              <w:t xml:space="preserve">-tās pakāpes saknes, pakāpes ar racionālu kāpinātāju, logaritma, pagrieziena leņķa sinusa un kosinusa skaitliskā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reālu skaitļu (</w:t>
            </w:r>
            <w:r w:rsidR="00000000" w:rsidRPr="00000000" w:rsidDel="00000000">
              <w:rPr>
                <w:i w:val="1"/>
                <w:rtl w:val="0"/>
              </w:rPr>
              <w:t xml:space="preserve">n</w:t>
            </w:r>
            <w:r w:rsidR="00000000" w:rsidRPr="00000000" w:rsidDel="00000000">
              <w:rPr>
                <w:rtl w:val="0"/>
              </w:rPr>
              <w:t xml:space="preserve">-tās pakāpes saknes, pakāpes ar racionālu kāpinātāju, pagrieziena leņķa sinusi, kosinusi) salīdzināšanu, izmantojot attiecīgo funkciju īpašības vai grafisko attēlojumu, vienības riņķi.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skaitli </w:t>
            </w:r>
            <w:r w:rsidR="00000000" w:rsidRPr="00000000" w:rsidDel="00000000">
              <w:rPr>
                <w:i w:val="1"/>
                <w:rtl w:val="0"/>
              </w:rPr>
              <w:t xml:space="preserve">e</w:t>
            </w:r>
            <w:r w:rsidR="00000000" w:rsidRPr="00000000" w:rsidDel="00000000">
              <w:rPr>
                <w:rtl w:val="0"/>
              </w:rPr>
              <w:t xml:space="preserve">, izmantojot virknes robežu; definē un lieto naturāllogaritmu.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kompleksa skaitļa pierakstu algebriskā formā, eksponenciālā formā, trigonometriskā formā un pāriet no vienas formas uz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Attēlo skaitli komplekso skaitļu plaknē, aprēķina kompleksa skaitļa moduli.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veido, lieto algoritmus pārejai no vienas skaitīšanas sistēmas uz citu naturāla skaitļa pierakstīšanai.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Nosaka, t. sk. ar digitāliem rīkiem, </w:t>
            </w:r>
            <w:r w:rsidR="00000000" w:rsidRPr="00000000" w:rsidDel="00000000">
              <w:rPr>
                <w:i w:val="1"/>
                <w:rtl w:val="0"/>
              </w:rPr>
              <w:t xml:space="preserve">n</w:t>
            </w:r>
            <w:r w:rsidR="00000000" w:rsidRPr="00000000" w:rsidDel="00000000">
              <w:rPr>
                <w:rtl w:val="0"/>
              </w:rPr>
              <w:t xml:space="preserve">-tās pakāpes saknes, pakāpes ar racionālu kāpinātāju, logaritma precīzo vai aptuveno vērtību, veicot skaitliskos aprēķinus reālos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Reizina, dala pakāpes ar vienādām bāzēm vai vienādiem kāpinātājiem, lieto skaitļu pierakstu normālformā. Saskaita, atņem līdzīgas pakāpes, piemēram, izteiksmi 3</w:t>
            </w:r>
            <w:r w:rsidR="00000000" w:rsidRPr="00000000" w:rsidDel="00000000">
              <w:rPr>
                <w:vertAlign w:val="superscript"/>
                <w:rtl w:val="0"/>
              </w:rPr>
              <w:t xml:space="preserve">10</w:t>
            </w:r>
            <w:r w:rsidR="00000000" w:rsidRPr="00000000" w:rsidDel="00000000">
              <w:rPr>
                <w:rtl w:val="0"/>
              </w:rPr>
              <w:t xml:space="preserve"> + 4 · 3</w:t>
            </w:r>
            <w:r w:rsidR="00000000" w:rsidRPr="00000000" w:rsidDel="00000000">
              <w:rPr>
                <w:vertAlign w:val="superscript"/>
                <w:rtl w:val="0"/>
              </w:rPr>
              <w:t xml:space="preserve">10</w:t>
            </w:r>
            <w:r w:rsidR="00000000" w:rsidRPr="00000000" w:rsidDel="00000000">
              <w:rPr>
                <w:rtl w:val="0"/>
              </w:rPr>
              <w:t xml:space="preserve"> uzraksta kā 5 · 3</w:t>
            </w:r>
            <w:r w:rsidR="00000000" w:rsidRPr="00000000" w:rsidDel="00000000">
              <w:rPr>
                <w:vertAlign w:val="superscript"/>
                <w:rtl w:val="0"/>
              </w:rPr>
              <w:t xml:space="preserve">10</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saistību starp </w:t>
            </w:r>
            <w:r w:rsidR="00000000" w:rsidRPr="00000000" w:rsidDel="00000000">
              <w:rPr>
                <w:i w:val="1"/>
                <w:rtl w:val="0"/>
              </w:rPr>
              <w:t xml:space="preserve">n</w:t>
            </w:r>
            <w:r w:rsidR="00000000" w:rsidRPr="00000000" w:rsidDel="00000000">
              <w:rPr>
                <w:rtl w:val="0"/>
              </w:rPr>
              <w:t xml:space="preserve">-tās pakāpes saknes aprēķināšanu, kāpināšanu un logaritmēšanu; formulē un lieto algoritmus darbību izpildei ar </w:t>
            </w:r>
            <w:r w:rsidR="00000000" w:rsidRPr="00000000" w:rsidDel="00000000">
              <w:rPr>
                <w:i w:val="1"/>
                <w:rtl w:val="0"/>
              </w:rPr>
              <w:t xml:space="preserve">n</w:t>
            </w:r>
            <w:r w:rsidR="00000000" w:rsidRPr="00000000" w:rsidDel="00000000">
              <w:rPr>
                <w:rtl w:val="0"/>
              </w:rPr>
              <w:t xml:space="preserve">-tās pakāpes saknēm (paplašināšana/saīsināšana, sakne no reizinājuma, dalījuma, pakāpes, saknes) un logaritmiem (reizinājums, dalījums, pakāpe, bāzes maiņa) skaitlisku izteiksmju vērtības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formulē, lieto sakarības starp pagrieziena leņķa sinusu un kosinusu; aprēķina skaitlisko vērtību izteiksmei, kas satur sinusus, kosinusus, izmantojot sakarības starp tiem, vienības riņķi, sinusa un kosinusa funkciju īpašības, informāciju uzziņu avotos un digitālos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Veido spriedumus matemātiskos un citu mācību jomu kontekstos, izmantojot dažādas reālu skaitļu pieraksta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Pierāda un lieto </w:t>
            </w:r>
            <w:r w:rsidR="00000000" w:rsidRPr="00000000" w:rsidDel="00000000">
              <w:rPr>
                <w:i w:val="1"/>
                <w:rtl w:val="0"/>
              </w:rPr>
              <w:t xml:space="preserve">n</w:t>
            </w:r>
            <w:r w:rsidR="00000000" w:rsidRPr="00000000" w:rsidDel="00000000">
              <w:rPr>
                <w:rtl w:val="0"/>
              </w:rPr>
              <w:t xml:space="preserve">-tās pakāpes sakņu, pakāpju ar racionālu kāpinātāju, logaritmu īpašības, sakarības starp pagrieziena leņķa sinusu, kosinusu, tangensu un kotangensu.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Izpilda darbības (saskaita, atņem, reizina, dala, aprēķina kvadrātsaknes vērtību) ar kompleksiem skaitļiem, izvēloties piemērotāko pieraksta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Saskata iespēju un lieto autentiskās situācijās reālu skaitļu dažādas pieraksta formas, darbības ar tiem un skaitļu attiecību (piemēram, saistības ar finanšu iestādēm, nodokļi, īrēšanas/izīrēšanas nosacījumi, maisījumi pārtikas rūpniecībā, būvniecībā, farmācijā, komplektācija, sadalījumi grupās).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Lieto logaritmus citu mācību jomu (piemēram, bioloģijas, psiholoģijas, astronomijas, ķīmijas, ģeogrāfijas, fizikas)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Lieto pagrieziena leņķa sinusu, kosinusu citu mācību jomu (piemēram, fizikā svārstību aprakstīšanai)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4.1. Virknes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Aprakstoši raksturo likumsakarību skaitļu virknē, t. sk. ģeometriskajā progresijā, lieto ģeometriskās progresijas vispārīgā locekļa formulu un salikto procentu formulu.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Saskata likumsakarību ģeometriskajā progresijā un pieraksta to ar vispārīgā locekļa formulu, lieto ģeometriskās progresijas pirmo </w:t>
            </w:r>
            <w:r w:rsidR="00000000" w:rsidRPr="00000000" w:rsidDel="00000000">
              <w:rPr>
                <w:i w:val="1"/>
                <w:rtl w:val="0"/>
              </w:rPr>
              <w:t xml:space="preserve">n</w:t>
            </w:r>
            <w:r w:rsidR="00000000" w:rsidRPr="00000000" w:rsidDel="00000000">
              <w:rPr>
                <w:rtl w:val="0"/>
              </w:rPr>
              <w:t xml:space="preserve"> locekļu summas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nezināmos locekļus, sakarības starp virknes locekļiem, ja tā uzdota vispārīgi vai rekurenti, vienkāršākos gadījumos pāriet no viena virknes uzdošanas veida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Lieto matemātiskās indukcijas principu, pierādot aritmētiskās, ģeometriskās progresijas formulas, rekurenti uzdotas virknes vispārīgā locekļa formulu, galīgas vai bezgalīgas skaitļu virknes visu locekļu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robežu, spriežot, modelējot uz skaitļu ass, izmantojot grafisko attēlu un kritiski izvērtējot tā lietojumu konkrētajā situācijā.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Veic aprēķinus, lietojot izklājlapas, un formulē pieņēmumu par skaitli </w:t>
            </w:r>
            <w:r w:rsidR="00000000" w:rsidRPr="00000000" w:rsidDel="00000000">
              <w:rPr>
                <w:i w:val="1"/>
                <w:rtl w:val="0"/>
              </w:rPr>
              <w:t xml:space="preserve">e</w:t>
            </w:r>
            <w:r w:rsidR="00000000" w:rsidRPr="00000000" w:rsidDel="00000000">
              <w:rPr>
                <w:rtl w:val="0"/>
              </w:rPr>
              <w:t xml:space="preserve"> kā virknes </w:t>
            </w:r>
            <w:r w:rsidR="00000000" w:rsidRPr="00000000" w:rsidDel="00000000">
              <w:drawing>
                <wp:inline distR="101600" distT="101600" distB="101600" distL="101600">
                  <wp:extent cx="561975" cy="3238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61975" cy="323850"/>
                          </a:xfrm>
                          <a:prstGeom prst="rect"/>
                          <a:ln/>
                        </pic:spPr>
                      </pic:pic>
                    </a:graphicData>
                  </a:graphic>
                </wp:inline>
              </w:drawing>
            </w:r>
            <w:r w:rsidR="00000000" w:rsidRPr="00000000" w:rsidDel="00000000">
              <w:rPr>
                <w:rtl w:val="0"/>
              </w:rPr>
              <w:t xml:space="preserve"> robežu, ja </w:t>
            </w:r>
            <w:r w:rsidR="00000000" w:rsidRPr="00000000" w:rsidDel="00000000">
              <w:drawing>
                <wp:inline distR="101600" distT="101600" distB="101600" distL="101600">
                  <wp:extent cx="542925" cy="2095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542925" cy="209550"/>
                          </a:xfrm>
                          <a:prstGeom prst="rect"/>
                          <a:ln/>
                        </pic:spPr>
                      </pic:pic>
                    </a:graphicData>
                  </a:graphic>
                </wp:inline>
              </w:drawing>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4.2. Reāla argumenta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grafiski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Konkrētos piemēros skaidro, kas ir argumenta pieaugums un funkcijas pieaugums, nosaka funkcijas pieaugumu no grafika.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Uzzīmē daļveida funkcijas </w:t>
            </w:r>
            <w:r w:rsidR="00000000" w:rsidRPr="00000000" w:rsidDel="00000000">
              <w:drawing>
                <wp:inline distR="101600" distT="101600" distB="101600" distL="101600">
                  <wp:extent cx="7810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81050" cy="285750"/>
                          </a:xfrm>
                          <a:prstGeom prst="rect"/>
                          <a:ln/>
                        </pic:spPr>
                      </pic:pic>
                    </a:graphicData>
                  </a:graphic>
                </wp:inline>
              </w:drawing>
            </w:r>
            <w:r w:rsidR="00000000" w:rsidRPr="00000000" w:rsidDel="00000000">
              <w:rPr>
                <w:rtl w:val="0"/>
              </w:rPr>
              <w:t xml:space="preserve">, eksponentfunkcijas</w:t>
            </w:r>
            <w:r>
              <w:tab/>
            </w:r>
            <w:r>
              <w:br/>
            </w:r>
            <w:r w:rsidR="00000000" w:rsidRPr="00000000" w:rsidDel="00000000">
              <w:drawing>
                <wp:inline distR="101600" distT="101600" distB="101600" distL="101600">
                  <wp:extent cx="742950" cy="2095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742950" cy="209550"/>
                          </a:xfrm>
                          <a:prstGeom prst="rect"/>
                          <a:ln/>
                        </pic:spPr>
                      </pic:pic>
                    </a:graphicData>
                  </a:graphic>
                </wp:inline>
              </w:drawing>
            </w:r>
            <w:r w:rsidR="00000000" w:rsidRPr="00000000" w:rsidDel="00000000">
              <w:rPr>
                <w:rtl w:val="0"/>
              </w:rPr>
              <w:t xml:space="preserve"> grafikus, nosakot atsevišķus grafika punktus un spriežot par funkcijas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Zīmē funkcijas grafiku, izmantojot digitālos rīkus, un spriež par funkcijas īpašībām.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Raksturo situāciju pēc tās grafiskā attēlojuma (pamatizglītībā apgūtās funkcijas – daļveida funkcija </w:t>
            </w:r>
            <w:r w:rsidR="00000000" w:rsidRPr="00000000" w:rsidDel="00000000">
              <w:drawing>
                <wp:inline distR="101600" distT="101600" distB="101600" distL="101600">
                  <wp:extent cx="809625" cy="2857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809625" cy="285750"/>
                          </a:xfrm>
                          <a:prstGeom prst="rect"/>
                          <a:ln/>
                        </pic:spPr>
                      </pic:pic>
                    </a:graphicData>
                  </a:graphic>
                </wp:inline>
              </w:drawing>
            </w:r>
            <w:r w:rsidR="00000000" w:rsidRPr="00000000" w:rsidDel="00000000">
              <w:rPr>
                <w:rtl w:val="0"/>
              </w:rPr>
              <w:t xml:space="preserve"> eksponentfunkcija </w:t>
            </w:r>
            <w:r w:rsidR="00000000" w:rsidRPr="00000000" w:rsidDel="00000000">
              <w:drawing>
                <wp:inline distR="101600" distT="101600" distB="101600" distL="101600">
                  <wp:extent cx="74295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742950" cy="209550"/>
                          </a:xfrm>
                          <a:prstGeom prst="rect"/>
                          <a:ln/>
                        </pic:spPr>
                      </pic:pic>
                    </a:graphicData>
                  </a:graphic>
                </wp:inline>
              </w:drawing>
            </w:r>
            <w:r w:rsidR="00000000" w:rsidRPr="00000000" w:rsidDel="00000000">
              <w:rPr>
                <w:rtl w:val="0"/>
              </w:rPr>
              <w:t xml:space="preserve">), lietojot gan matemātisko terminoloģiju, gan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dažādos veidos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argumenta pieaugums un funkcijas pieaugums, nosaka funkcijas pieaugumu no grafika un analītiski.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Skaidro, kas ir salikta funkcija, lietojot jēdzienus </w:t>
            </w:r>
            <w:r w:rsidR="00000000" w:rsidRPr="00000000" w:rsidDel="00000000">
              <w:rPr>
                <w:i w:val="1"/>
                <w:rtl w:val="0"/>
              </w:rPr>
              <w:t xml:space="preserve">iekšējā funkcija</w:t>
            </w:r>
            <w:r w:rsidR="00000000" w:rsidRPr="00000000" w:rsidDel="00000000">
              <w:rPr>
                <w:rtl w:val="0"/>
              </w:rPr>
              <w:t xml:space="preserve">, </w:t>
            </w:r>
            <w:r w:rsidR="00000000" w:rsidRPr="00000000" w:rsidDel="00000000">
              <w:rPr>
                <w:i w:val="1"/>
                <w:rtl w:val="0"/>
              </w:rPr>
              <w:t xml:space="preserve">ārējā funkcija</w:t>
            </w:r>
            <w:r w:rsidR="00000000" w:rsidRPr="00000000" w:rsidDel="00000000">
              <w:rPr>
                <w:rtl w:val="0"/>
              </w:rPr>
              <w:t xml:space="preserve">. Saista salikto funkciju īpašības un grafiku zīmēšanu ar zināšanām par attiecīgo elementāro funkciju.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Uzzīmē funkciju </w:t>
            </w:r>
            <w:r w:rsidR="00000000" w:rsidRPr="00000000" w:rsidDel="00000000">
              <w:drawing>
                <wp:inline distR="101600" distT="101600" distB="101600" distL="101600">
                  <wp:extent cx="857250" cy="2095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857250" cy="2095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6667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666750" cy="209550"/>
                          </a:xfrm>
                          <a:prstGeom prst="rect"/>
                          <a:ln/>
                        </pic:spPr>
                      </pic:pic>
                    </a:graphicData>
                  </a:graphic>
                </wp:inline>
              </w:drawing>
            </w:r>
            <w:r w:rsidR="00000000" w:rsidRPr="00000000" w:rsidDel="00000000">
              <w:rPr>
                <w:rtl w:val="0"/>
              </w:rPr>
              <w:t xml:space="preserve"> grafikus un raksturo to īpašības, izmantojot zināšanas par funkcijas </w:t>
            </w:r>
            <w:r w:rsidR="00000000" w:rsidRPr="00000000" w:rsidDel="00000000">
              <w:drawing>
                <wp:inline distR="101600" distT="101600" distB="101600" distL="101600">
                  <wp:extent cx="590550" cy="2095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Nosaka funkciju </w:t>
            </w:r>
            <w:r w:rsidR="00000000" w:rsidRPr="00000000" w:rsidDel="00000000">
              <w:drawing>
                <wp:inline distR="101600" distT="101600" distB="101600" distL="101600">
                  <wp:extent cx="781050"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3430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62075" cy="2095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362075"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analītiski vai grafiski, lietojot dažādus funkcijas pieraksta veidus, funkcijas grafika pārbīdes un citas transformācijas.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4.2.6. Raksturo, analizē situāciju, ja sakarību starp lielumiem raksturo funkcijas </w:t>
            </w:r>
            <w:r w:rsidR="00000000" w:rsidRPr="00000000" w:rsidDel="00000000">
              <w:drawing>
                <wp:inline distR="101600" distT="101600" distB="101600" distL="101600">
                  <wp:extent cx="781050" cy="2857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343025"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362075" cy="2095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362075" cy="209550"/>
                          </a:xfrm>
                          <a:prstGeom prst="rect"/>
                          <a:ln/>
                        </pic:spPr>
                      </pic:pic>
                    </a:graphicData>
                  </a:graphic>
                </wp:inline>
              </w:drawing>
            </w:r>
            <w:r w:rsidR="00000000" w:rsidRPr="00000000" w:rsidDel="00000000">
              <w:rPr>
                <w:rtl w:val="0"/>
              </w:rPr>
              <w:t xml:space="preserve">, izmantojot gan funkcijas formulu, gan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4.2.7. Zīmē jaunas, nezināmas funkcijas, piemēram, </w:t>
            </w:r>
            <w:r w:rsidR="00000000" w:rsidRPr="00000000" w:rsidDel="00000000">
              <w:drawing>
                <wp:inline distR="101600" distT="101600" distB="101600" distL="101600">
                  <wp:extent cx="733425"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7334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762000"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762000" cy="285750"/>
                          </a:xfrm>
                          <a:prstGeom prst="rect"/>
                          <a:ln/>
                        </pic:spPr>
                      </pic:pic>
                    </a:graphicData>
                  </a:graphic>
                </wp:inline>
              </w:drawing>
            </w:r>
            <w:r w:rsidR="00000000" w:rsidRPr="00000000" w:rsidDel="00000000">
              <w:rPr>
                <w:rtl w:val="0"/>
              </w:rPr>
              <w:t xml:space="preserve"> grafiku, izmantojot digitālos rīkus, un spriež par funkcijas īpašībām, izvērtē riskus maldīgu priekšstatu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Pierāda jaunu, nezināmu, t. sk. intervālos, dažādi uzdotu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dotai funkcijai inversā funkcija, un nosacījumus tās eksistencei; raksturo savstarpēji inversu funkciju grafiku novietojumu koordinātu plaknē; definē logaritmisko funkciju, inversās trigonometriskās funkcijas.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Raksturo, pamato pakāpes funkcijas </w:t>
            </w:r>
            <w:r w:rsidR="00000000" w:rsidRPr="00000000" w:rsidDel="00000000">
              <w:drawing>
                <wp:inline distR="101600" distT="101600" distB="101600" distL="101600">
                  <wp:extent cx="666750"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666750" cy="209550"/>
                          </a:xfrm>
                          <a:prstGeom prst="rect"/>
                          <a:ln/>
                        </pic:spPr>
                      </pic:pic>
                    </a:graphicData>
                  </a:graphic>
                </wp:inline>
              </w:drawing>
            </w:r>
            <w:r w:rsidR="00000000" w:rsidRPr="00000000" w:rsidDel="00000000">
              <w:rPr>
                <w:rtl w:val="0"/>
              </w:rPr>
              <w:t xml:space="preserve"> īpašības, ja kāpinātājs ir racionāls skaitlis.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Raksturo un pamato funkciju</w:t>
            </w:r>
            <w:r>
              <w:tab/>
            </w:r>
            <w:r>
              <w:br/>
            </w:r>
            <w:r w:rsidR="00000000" w:rsidRPr="00000000" w:rsidDel="00000000">
              <w:drawing>
                <wp:inline distR="101600" distT="101600" distB="101600" distL="101600">
                  <wp:extent cx="1428750" cy="2095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2875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04925" cy="2095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3049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71600" cy="2095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371600"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asimptotas un funkcijas robežu.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Uzzīmē un raksturo funkciju </w:t>
            </w:r>
            <w:r w:rsidR="00000000" w:rsidRPr="00000000" w:rsidDel="00000000">
              <w:drawing>
                <wp:inline distR="101600" distT="101600" distB="101600" distL="101600">
                  <wp:extent cx="685800"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6858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85800" cy="209550"/>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685800" cy="209550"/>
                          </a:xfrm>
                          <a:prstGeom prst="rect"/>
                          <a:ln/>
                        </pic:spPr>
                      </pic:pic>
                    </a:graphicData>
                  </a:graphic>
                </wp:inline>
              </w:drawing>
            </w:r>
            <w:r w:rsidR="00000000" w:rsidRPr="00000000" w:rsidDel="00000000">
              <w:rPr>
                <w:rtl w:val="0"/>
              </w:rPr>
              <w:t xml:space="preserve"> īpašības un grafikus, izmantojot zināšanas par funkcijas </w:t>
            </w:r>
            <w:r w:rsidR="00000000" w:rsidRPr="00000000" w:rsidDel="00000000">
              <w:drawing>
                <wp:inline distR="101600" distT="101600" distB="101600" distL="101600">
                  <wp:extent cx="590550" cy="209550"/>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4.3. Funkcijas atvasinājums, integrālis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Nosaka funkcijas robežu, spriežot, izmantojot funkcijas grafika īpašības; skaidro un vizuāli interpretē funkcijas nepārtrauktību.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4.3.2. Interpretē atvasinājumu kā veiktā ceļa izmaiņas ātrumu; skaidro funkcijas atvasinājuma punktā ģeometrisko interpretāciju; nosaka vienkāršu funkciju, piemēram,</w:t>
            </w:r>
            <w:r>
              <w:tab/>
            </w:r>
            <w:r>
              <w:br/>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3714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457200" cy="209550"/>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572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533400" cy="2095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533400" cy="209550"/>
                          </a:xfrm>
                          <a:prstGeom prst="rect"/>
                          <a:ln/>
                        </pic:spPr>
                      </pic:pic>
                    </a:graphicData>
                  </a:graphic>
                </wp:inline>
              </w:drawing>
            </w:r>
            <w:r w:rsidR="00000000" w:rsidRPr="00000000" w:rsidDel="00000000">
              <w:rPr>
                <w:rtl w:val="0"/>
              </w:rPr>
              <w:t xml:space="preserve"> atvasinājumu, izmantojot definīciju, un formulē vispārīgus secinājumus.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4.3.3. Atvasina pakāpes funkciju, funkcijas </w:t>
            </w:r>
            <w:r w:rsidR="00000000" w:rsidRPr="00000000" w:rsidDel="00000000">
              <w:drawing>
                <wp:inline distR="101600" distT="101600" distB="101600" distL="101600">
                  <wp:extent cx="7905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7905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809625" cy="2095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8096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57225"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657225" cy="209550"/>
                          </a:xfrm>
                          <a:prstGeom prst="rect"/>
                          <a:ln/>
                        </pic:spPr>
                      </pic:pic>
                    </a:graphicData>
                  </a:graphic>
                </wp:inline>
              </w:drawing>
            </w:r>
            <w:r w:rsidR="00000000" w:rsidRPr="00000000" w:rsidDel="00000000">
              <w:rPr>
                <w:rtl w:val="0"/>
              </w:rPr>
              <w:t xml:space="preserve"> un</w:t>
            </w:r>
            <w:r>
              <w:tab/>
            </w:r>
            <w:r>
              <w:br/>
            </w:r>
            <w:r w:rsidR="00000000" w:rsidRPr="00000000" w:rsidDel="00000000">
              <w:drawing>
                <wp:inline distR="101600" distT="101600" distB="101600" distL="101600">
                  <wp:extent cx="723900" cy="2095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723900" cy="209550"/>
                          </a:xfrm>
                          <a:prstGeom prst="rect"/>
                          <a:ln/>
                        </pic:spPr>
                      </pic:pic>
                    </a:graphicData>
                  </a:graphic>
                </wp:inline>
              </w:drawing>
            </w:r>
            <w:r w:rsidR="00000000" w:rsidRPr="00000000" w:rsidDel="00000000">
              <w:rPr>
                <w:rtl w:val="0"/>
              </w:rPr>
              <w:t xml:space="preserve">, lieto likumus funkciju summas, reizinājuma un dalījuma atvasināšanai, atvasina saliktu funkciju formā </w:t>
            </w:r>
            <w:r w:rsidR="00000000" w:rsidRPr="00000000" w:rsidDel="00000000">
              <w:drawing>
                <wp:inline distR="101600" distT="101600" distB="101600" distL="101600">
                  <wp:extent cx="6572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657225" cy="209550"/>
                          </a:xfrm>
                          <a:prstGeom prst="rect"/>
                          <a:ln/>
                        </pic:spPr>
                      </pic:pic>
                    </a:graphicData>
                  </a:graphic>
                </wp:inline>
              </w:drawing>
            </w:r>
            <w:r w:rsidR="00000000" w:rsidRPr="00000000" w:rsidDel="00000000">
              <w:rPr>
                <w:rtl w:val="0"/>
              </w:rPr>
              <w:t xml:space="preserve">, ja </w:t>
            </w:r>
            <w:r w:rsidR="00000000" w:rsidRPr="00000000" w:rsidDel="00000000">
              <w:rPr>
                <w:i w:val="1"/>
                <w:rtl w:val="0"/>
              </w:rPr>
              <w:t xml:space="preserve">f</w:t>
            </w:r>
            <w:r w:rsidR="00000000" w:rsidRPr="00000000" w:rsidDel="00000000">
              <w:rPr>
                <w:rtl w:val="0"/>
              </w:rPr>
              <w:t xml:space="preserve"> ir kāda no nosauktajām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nosacījumus atvasinājuma eksistencei punktā, atšķir kritiskos punktus un ekstrēma punktus; skaidro ekstrēmu, funkcijas monotonitāti, pārliekuma punktu, grafika izliekumu un ieliekumu, izmantojot atvasinājuma punktā ģeometrisko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Lieto funkcijas atvasinājumu, pētot polinomiālu funkciju un daļveida funkciju īpašības, zīmējot to grafikus, nosakot funkcijas vislielāko/ vismazāko vērtību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Skaidro primitīvās funkcijas atrašanu/integrēšanu kā atvasināšanai pretējo darbību un nosaka nenoteikto integrāli, izmantojot tā īpašības un integrēšanas pamatformulas (atbilstoši iepriekš lietotajām atvasināšanas formulām).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Aprēķina noteikto integrāli, izmantojot Ņūtona–Leibnica formulu, un to lieto plaknes figūras laukuma un rotācijas ķermeņa tilpuma aprēķināšanai, taisnvirziena kustībā noietā ceļa aprēķināšanai, darba aprēķināšanai u. tml.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4.4. Algebriskas izteiksmes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Konkrētos piemēros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Algebrisku daļu lasa, uzraksta pēc vārdiskā apraksta, skaidro algebriskas daļas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Reizina, dala algebriskas daļas, kuru skaitītājā un saucējā ir monomi vai pirmās pakāpes polinomi; saskaita un atņem algebriskas daļas, ja saucēji ir pirmās pakāpes polinomi.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un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Sadala izteiksmi reizinātājos, vairākkārt iznesot pirms iekavām kopīgo reizinātāju, lietojot kubu summas/starpības formulas, lai pamatotu identitātes, risinātu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Algebrisku daļu lasa, uzraksta pēc vārdiskā apraksta, raksturo iespējas to pierakstīt dažādos veidos, skaidro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Reizina un dala algebriskas daļas, kuru skaitītājā un saucējā ir monomi vai pirmās un otrās pakāpes polinomi; saskaita un atņem algebriskas daļas, ja saucēji ir pirmās vai otrās pakāpes polinomi un kopsaucēja pakāpe nepārsniedz trešo.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Veic algebriskus pārveidojumus ar pakāpēm, trigonometriskām izteiksmēm, lai pamatotu identitātes, pētītu funkciju īpašības un risinātu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Sadala izteiksmi reizinātājos, lietojot saīsināto reizināšanas formulu vispārinājumus, polinoma dalīšanu ar binomu (Bezū teorēmu), lai pamatotu identitātes, risinātu vienādojumus un 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Reizina, dala, saskaita un atņem algebriskas daļas, kuru saucējā un skaitītājā ir polinomi vai izteiksmes ar vispārīgā veidā uzdotām pakāpēm.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4.4.3. Izsaka algebrisku daļu kā divu daļu (saucēji ir lineāras izteiksmes) summu ar nenoteikto koeficientu metodi, piemēram, </w:t>
            </w:r>
            <w:r w:rsidR="00000000" w:rsidRPr="00000000" w:rsidDel="00000000">
              <w:drawing>
                <wp:inline distR="101600" distT="101600" distB="101600" distL="101600">
                  <wp:extent cx="1390650" cy="304800"/>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390650" cy="3048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Veic algebriskus pārveidojumus ar saknēm un logaritmiem, lai pamatotu identitātes, pētītu funkciju īpašības un risinātu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Skaidro, kas ir radiāns. Lieto sakarību starp grādiem un radiāniem, pārejot no vienas leņķa mērvienības uz otru.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Secina par sakarībām starp vienādu un dažādu argumentu sinusiem un kosinusiem, lietojot vienības riņķi.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4.4.8. Lieto sakarību </w:t>
            </w:r>
            <w:r w:rsidR="00000000" w:rsidRPr="00000000" w:rsidDel="00000000">
              <w:drawing>
                <wp:inline distR="101600" distT="101600" distB="101600" distL="101600">
                  <wp:extent cx="12096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209675" cy="209550"/>
                          </a:xfrm>
                          <a:prstGeom prst="rect"/>
                          <a:ln/>
                        </pic:spPr>
                      </pic:pic>
                    </a:graphicData>
                  </a:graphic>
                </wp:inline>
              </w:drawing>
            </w:r>
            <w:r w:rsidR="00000000" w:rsidRPr="00000000" w:rsidDel="00000000">
              <w:rPr>
                <w:rtl w:val="0"/>
              </w:rPr>
              <w:t xml:space="preserve">, argumenta summas formulas un divkāršā argumenta formulas trigonometrisku izteiksmju skaitliskās vērtības aprēķināšanai, identiskai pārveidošanai un vienādojumu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Pierāda sakarību starp leņķa lielumu grādos un radiānos.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4.4.6. Pierāda redukcijas formulas un viena argumenta sakarības </w:t>
            </w:r>
            <w:r w:rsidR="00000000" w:rsidRPr="00000000" w:rsidDel="00000000">
              <w:drawing>
                <wp:inline distR="101600" distT="101600" distB="101600" distL="101600">
                  <wp:extent cx="933449" cy="20955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933449"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2857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1076325"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28575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1133475" cy="285750"/>
                          </a:xfrm>
                          <a:prstGeom prst="rect"/>
                          <a:ln/>
                        </pic:spPr>
                      </pic:pic>
                    </a:graphicData>
                  </a:graphic>
                </wp:inline>
              </w:drawing>
            </w:r>
            <w:r w:rsidR="00000000" w:rsidRPr="00000000" w:rsidDel="00000000">
              <w:rPr>
                <w:rtl w:val="0"/>
              </w:rPr>
              <w:t xml:space="preserve">, lieto tās trigonometrisku izteiksmju vērtības aprēķināšanai, izteiksmju identiskai pārveidošanai, vienādojumu un nevienādību atrisināšanai.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Pierāda argumenta summas formulas, divkārša argumenta formulas un lieto tās izteiksmju vērtības aprēķināšanai, izteiksmju identiskai pārveidošanai un vienādojumu atrisināšanai.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4.5. Vienādojumi, nevienādības, to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4.5.2. Atrisina analītiski vai grafiski daļveida vienādojumu (daļu saucēji ir pirmās pakāpes polinomi, kopsaucēja pakāpe nepārsniedz otro) un eksponentvienādojumu </w:t>
            </w:r>
            <w:r w:rsidR="00000000" w:rsidRPr="00000000" w:rsidDel="00000000">
              <w:drawing>
                <wp:inline distR="101600" distT="101600" distB="101600" distL="101600">
                  <wp:extent cx="60960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60960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Lieto pamatskolā apgūtos vienādojumus un nevienādības, vienādojumu </w:t>
            </w:r>
            <w:r w:rsidR="00000000" w:rsidRPr="00000000" w:rsidDel="00000000">
              <w:drawing>
                <wp:inline distR="101600" distT="101600" distB="101600" distL="101600">
                  <wp:extent cx="847725" cy="2095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un eksponentvienādojumu </w:t>
            </w:r>
            <w:r w:rsidR="00000000" w:rsidRPr="00000000" w:rsidDel="00000000">
              <w:drawing>
                <wp:inline distR="101600" distT="101600" distB="101600" distL="101600">
                  <wp:extent cx="609600"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609600" cy="219075"/>
                          </a:xfrm>
                          <a:prstGeom prst="rect"/>
                          <a:ln/>
                        </pic:spPr>
                      </pic:pic>
                    </a:graphicData>
                  </a:graphic>
                </wp:inline>
              </w:drawing>
            </w:r>
            <w:r w:rsidR="00000000" w:rsidRPr="00000000" w:rsidDel="00000000">
              <w:rPr>
                <w:rtl w:val="0"/>
              </w:rPr>
              <w:t xml:space="preserve">, lai modelētu situāciju ar praktisku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 Atrisina nevienādību sistēmu (satur lineāras nevienādības, kvadrātnevienādības).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Atrisina daļveida vienādojumu, nevienādību (saucēji ir pirmās vai otrās pakāpes polinomi un kopsaucēja pakāpe nepārsniedz trešo); izvēlas paņēmienu nevienādības atrisināšanai (pārejot uz nevienādību sistēmām, ar intervālu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Atrisina eksponentvienādojumu, kas pārveidojams formā </w:t>
            </w:r>
            <w:r w:rsidR="00000000" w:rsidRPr="00000000" w:rsidDel="00000000">
              <w:drawing>
                <wp:inline distR="101600" distT="101600" distB="101600" distL="101600">
                  <wp:extent cx="847725"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847725" cy="219075"/>
                          </a:xfrm>
                          <a:prstGeom prst="rect"/>
                          <a:ln/>
                        </pic:spPr>
                      </pic:pic>
                    </a:graphicData>
                  </a:graphic>
                </wp:inline>
              </w:drawing>
            </w:r>
            <w:r w:rsidR="00000000" w:rsidRPr="00000000" w:rsidDel="00000000">
              <w:rPr>
                <w:rtl w:val="0"/>
              </w:rPr>
              <w:t xml:space="preserve">, un eksponentnevienādību, kas pārveidojama formā </w:t>
            </w:r>
            <w:r w:rsidR="00000000" w:rsidRPr="00000000" w:rsidDel="00000000">
              <w:drawing>
                <wp:inline distR="101600" distT="101600" distB="101600" distL="101600">
                  <wp:extent cx="847725" cy="219075"/>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847725" cy="219075"/>
                          </a:xfrm>
                          <a:prstGeom prst="rect"/>
                          <a:ln/>
                        </pic:spPr>
                      </pic:pic>
                    </a:graphicData>
                  </a:graphic>
                </wp:inline>
              </w:drawing>
            </w:r>
            <w:r w:rsidR="00000000" w:rsidRPr="00000000" w:rsidDel="00000000">
              <w:rPr>
                <w:rtl w:val="0"/>
              </w:rPr>
              <w:t xml:space="preserve">, lietojot eksponentfunkcijas īpašības.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4.5.4. Atrisina noteiktā intervālā trigonometriskos vienādojumus, kas pārveidojami formā</w:t>
            </w:r>
            <w:r>
              <w:tab/>
            </w:r>
            <w:r>
              <w:br/>
            </w:r>
            <w:r w:rsidR="00000000" w:rsidRPr="00000000" w:rsidDel="00000000">
              <w:drawing>
                <wp:inline distR="101600" distT="101600" distB="101600" distL="101600">
                  <wp:extent cx="1047749" cy="2095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047749"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066800" cy="2095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066800" cy="209550"/>
                          </a:xfrm>
                          <a:prstGeom prst="rect"/>
                          <a:ln/>
                        </pic:spPr>
                      </pic:pic>
                    </a:graphicData>
                  </a:graphic>
                </wp:inline>
              </w:drawing>
            </w:r>
            <w:r w:rsidR="00000000" w:rsidRPr="00000000" w:rsidDel="00000000">
              <w:rPr>
                <w:rtl w:val="0"/>
              </w:rPr>
              <w:t xml:space="preserve">, lietojot vienības riņķi, sinusa un kosinusa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Plāno vienādojumu atrisināšanas metožu (sadalot reizinātājos, substitūcija, grafiskais paņēmiens) lietojumu, lai atrisinātu daļveida vienādojumu, eksponentvienādojumu, trigonometrisko vienādojumu.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vienādojumus, nevienādības (pakāpe nepārsniedz otro) un to sistēmas ar diviem mainīgajiem reālo skaitļu kopā, attēlojot atrisinājumu koordinātu plaknē.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Lieto vienādojumu </w:t>
            </w:r>
            <w:r w:rsidR="00000000" w:rsidRPr="00000000" w:rsidDel="00000000">
              <w:drawing>
                <wp:inline distR="101600" distT="101600" distB="101600" distL="101600">
                  <wp:extent cx="847725" cy="2095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eksponentvienādojumu, daļveida nevienādību, divu mainīgo vienādojumu sistēmu (daļveida vienādojums un lineārs vienādojums, eksponentvienādojums un lineārs vienādojums), lai modelētu situāciju ar matemātisku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390650" cy="2095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390650" cy="209550"/>
                          </a:xfrm>
                          <a:prstGeom prst="rect"/>
                          <a:ln/>
                        </pic:spPr>
                      </pic:pic>
                    </a:graphicData>
                  </a:graphic>
                </wp:inline>
              </w:drawing>
            </w:r>
            <w:r w:rsidR="00000000" w:rsidRPr="00000000" w:rsidDel="00000000">
              <w:drawing>
                <wp:inline distR="101600" distT="101600" distB="101600" distL="101600">
                  <wp:extent cx="1390650" cy="209550"/>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1390650"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logaritmisku vienādojumu, kas pārveidojams formā , un logaritmisku nevienādību, kas pārveidojama formā , lietojot logaritmiskās funkcijas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Skaidro inverso trigonometrisko funkciju lietojumu vienādojumu risināšanā. Atrisina trigonometriskos vienādojumus vispārīgā veidā, lietojot vienības riņķi un sinusa, kosinusa, tangensa un kotangensa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Lieto neekvivalentus pārveidojumus dažādu vienādojumu risināšanā, piemēram, vienādojuma abas puses kāpina kvadrātā, abas puses izdala ar vienu un to pašu izteiksmi, abas puses logaritmē un raksturo papildu veicamos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 Atrisina augstāko kārtu vienādojumus, lietojot vienādojumu risināšanas metodes (sadalot reizinātājos, substitūciju, grafisko paņēmienu).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Atrisina jauktas vienādojumu sistēmas, kas var saturēt pirmās, otrās pakāpes vienādojumus, daļveida vienādojumus, eksponentvienādojumus vai logaritmiskus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dažāda veida vienādojumus, to sistēmas un nevienādības ar parametru.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Analītiski vai grafiski atrisina vienādojumus un nevienādības, kas satur moduli </w:t>
            </w:r>
            <w:r w:rsidR="00000000" w:rsidRPr="00000000" w:rsidDel="00000000">
              <w:drawing>
                <wp:inline distR="101600" distT="101600" distB="101600" distL="101600">
                  <wp:extent cx="904875" cy="2095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9048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0125" cy="20955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1000125" cy="209550"/>
                          </a:xfrm>
                          <a:prstGeom prst="rect"/>
                          <a:ln/>
                        </pic:spPr>
                      </pic:pic>
                    </a:graphicData>
                  </a:graphic>
                </wp:inline>
              </w:drawing>
            </w:r>
            <w:r w:rsidR="00000000" w:rsidRPr="00000000" w:rsidDel="00000000">
              <w:rPr>
                <w:rtl w:val="0"/>
              </w:rPr>
              <w:t xml:space="preserve">,</w:t>
            </w:r>
            <w:r>
              <w:tab/>
            </w:r>
            <w:r>
              <w:br/>
            </w:r>
            <w:r w:rsidR="00000000" w:rsidRPr="00000000" w:rsidDel="00000000">
              <w:drawing>
                <wp:inline distR="101600" distT="101600" distB="101600" distL="101600">
                  <wp:extent cx="752475" cy="209550"/>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524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4.5.8. Spriežot, veicot algebriskus pārveidojumus, pilno pārlasi vai interpretējot grafiski, atrisina vienādojumu ar diviem mainīgajiem kopās </w:t>
            </w:r>
            <w:r w:rsidR="00000000" w:rsidRPr="00000000" w:rsidDel="00000000">
              <w:drawing>
                <wp:inline distR="101600" distT="101600" distB="101600" distL="101600">
                  <wp:extent cx="257175" cy="209550"/>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257175" cy="209550"/>
                          </a:xfrm>
                          <a:prstGeom prst="rect"/>
                          <a:ln/>
                        </pic:spPr>
                      </pic:pic>
                    </a:graphicData>
                  </a:graphic>
                </wp:inline>
              </w:drawing>
            </w:r>
            <w:r w:rsidR="00000000" w:rsidRPr="00000000" w:rsidDel="00000000">
              <w:rPr>
                <w:rtl w:val="0"/>
              </w:rPr>
              <w:t xml:space="preserve">, piemēram,</w:t>
            </w:r>
            <w:r w:rsidR="00000000" w:rsidRPr="00000000" w:rsidDel="00000000">
              <w:drawing>
                <wp:inline distR="101600" distT="101600" distB="101600" distL="101600">
                  <wp:extent cx="819150" cy="20955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8191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4.5.9. Lieto dalāmību (kongruences), nosakot izteiksmju īpašības, risinot vienādojumus ar diviem mainīgajiem kopās </w:t>
            </w:r>
            <w:r w:rsidR="00000000" w:rsidRPr="00000000" w:rsidDel="00000000">
              <w:drawing>
                <wp:inline distR="101600" distT="101600" distB="101600" distL="101600">
                  <wp:extent cx="257175" cy="20955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571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4.5.10. Pierāda nevienādības spriežot. Pierāda dalāmību, spriežot un lietojot matemātiskās indukcijas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4.5.11. Atrisina vienādojumu komplekso skaitļu kopā, lietojot dažādas vienādojumu risināšanas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5.1. Kopas, darbības ar kopām un kombinatorikas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vai kopa ir galīga/bezgalīga, ar piemēriem ilustrē galīgu un bezgalīgu kopu. Formulē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īpašības, kas piemīt kopas visiem elementiem. Nosaka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skaidrojot saskaitīšanas un reizināšanas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un pamato, vai kopa ir galīga/bezgalīga, ar piemēriem ilustrē galīgu un bezgalīgu kopu. Formulē un pamato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un pamato īpašības, kas piemīt kopas visiem elementiem. Nosaka un pamato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un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pamatojot savus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Skaidro jēdzienus </w:t>
            </w:r>
            <w:r w:rsidR="00000000" w:rsidRPr="00000000" w:rsidDel="00000000">
              <w:rPr>
                <w:i w:val="1"/>
                <w:rtl w:val="0"/>
              </w:rPr>
              <w:t xml:space="preserve">izlase</w:t>
            </w:r>
            <w:r w:rsidR="00000000" w:rsidRPr="00000000" w:rsidDel="00000000">
              <w:rPr>
                <w:rtl w:val="0"/>
              </w:rPr>
              <w:t xml:space="preserve">, </w:t>
            </w:r>
            <w:r w:rsidR="00000000" w:rsidRPr="00000000" w:rsidDel="00000000">
              <w:rPr>
                <w:i w:val="1"/>
                <w:rtl w:val="0"/>
              </w:rPr>
              <w:t xml:space="preserve">kombinācijas</w:t>
            </w:r>
            <w:r w:rsidR="00000000" w:rsidRPr="00000000" w:rsidDel="00000000">
              <w:rPr>
                <w:rtl w:val="0"/>
              </w:rPr>
              <w:t xml:space="preserve">, </w:t>
            </w:r>
            <w:r w:rsidR="00000000" w:rsidRPr="00000000" w:rsidDel="00000000">
              <w:rPr>
                <w:i w:val="1"/>
                <w:rtl w:val="0"/>
              </w:rPr>
              <w:t xml:space="preserve">variācijas</w:t>
            </w:r>
            <w:r w:rsidR="00000000" w:rsidRPr="00000000" w:rsidDel="00000000">
              <w:rPr>
                <w:rtl w:val="0"/>
              </w:rPr>
              <w:t xml:space="preserve"> un </w:t>
            </w:r>
            <w:r w:rsidR="00000000" w:rsidRPr="00000000" w:rsidDel="00000000">
              <w:rPr>
                <w:i w:val="1"/>
                <w:rtl w:val="0"/>
              </w:rPr>
              <w:t xml:space="preserve">permutācijas</w:t>
            </w:r>
            <w:r w:rsidR="00000000" w:rsidRPr="00000000" w:rsidDel="00000000">
              <w:rPr>
                <w:rtl w:val="0"/>
              </w:rPr>
              <w:t xml:space="preserve">, to savstarpējo saistību un saistību ar jēdzieniem </w:t>
            </w:r>
            <w:r w:rsidR="00000000" w:rsidRPr="00000000" w:rsidDel="00000000">
              <w:rPr>
                <w:i w:val="1"/>
                <w:rtl w:val="0"/>
              </w:rPr>
              <w:t xml:space="preserve">kopa</w:t>
            </w:r>
            <w:r w:rsidR="00000000" w:rsidRPr="00000000" w:rsidDel="00000000">
              <w:rPr>
                <w:rtl w:val="0"/>
              </w:rPr>
              <w:t xml:space="preserve"> un </w:t>
            </w:r>
            <w:r w:rsidR="00000000" w:rsidRPr="00000000" w:rsidDel="00000000">
              <w:rPr>
                <w:i w:val="1"/>
                <w:rtl w:val="0"/>
              </w:rPr>
              <w:t xml:space="preserve">apakškopa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Lieto formulas permutāciju, variāciju un kombināciju skaita aprēķināšanai un sakarību</w:t>
            </w:r>
            <w:r>
              <w:tab/>
            </w:r>
            <w:r>
              <w:br/>
            </w:r>
            <w:r w:rsidR="00000000" w:rsidRPr="00000000" w:rsidDel="00000000">
              <w:drawing>
                <wp:inline distR="101600" distT="101600" distB="101600" distL="101600">
                  <wp:extent cx="695325" cy="209550"/>
                  <wp:effectExtent t="0" b="0" r="0" l="0"/>
                  <wp:docPr id="72" name="media/image72.PNG"/>
                  <a:graphic>
                    <a:graphicData uri="http://schemas.openxmlformats.org/drawingml/2006/picture">
                      <pic:pic>
                        <pic:nvPicPr>
                          <pic:cNvPr id="72" name="media/image72.PNG"/>
                          <pic:cNvPicPr/>
                        </pic:nvPicPr>
                        <pic:blipFill>
                          <a:blip r:embed="rId72"/>
                          <a:srcRect/>
                          <a:stretch>
                            <a:fillRect/>
                          </a:stretch>
                        </pic:blipFill>
                        <pic:spPr>
                          <a:xfrm>
                            <a:ext cx="695325" cy="209550"/>
                          </a:xfrm>
                          <a:prstGeom prst="rect"/>
                          <a:ln/>
                        </pic:spPr>
                      </pic:pic>
                    </a:graphicData>
                  </a:graphic>
                </wp:inline>
              </w:drawing>
            </w:r>
            <w:r w:rsidR="00000000" w:rsidRPr="00000000" w:rsidDel="00000000">
              <w:rPr>
                <w:rtl w:val="0"/>
              </w:rPr>
              <w:t xml:space="preserve">; izvērtē iespējas noteikt objektu skaitu, spriežot un veicot pilno pārlasi vai lietojot kombinatorikas 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Pierāda formulas permutāciju, variāciju skaita aprēķināšanai, galīgas kopas (satur </w:t>
            </w:r>
            <w:r w:rsidR="00000000" w:rsidRPr="00000000" w:rsidDel="00000000">
              <w:rPr>
                <w:i w:val="1"/>
                <w:rtl w:val="0"/>
              </w:rPr>
              <w:t xml:space="preserve">n</w:t>
            </w:r>
            <w:r w:rsidR="00000000" w:rsidRPr="00000000" w:rsidDel="00000000">
              <w:rPr>
                <w:rtl w:val="0"/>
              </w:rPr>
              <w:t xml:space="preserve"> elementus) visu iespējamo apakškopu (ieskaitot tukšu kopu) skaitu, kombināciju skaita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Formulē un pamato sakarības Paskāla trijstūrī; lieto Ņūtona binomu, veidojot konkrētus izvirzījumus, lai formulētu spriedumus matemātiskos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Identiski pārveido izteiksmes, kas satur faktoriālu. Modelē situāciju ar vienādojumu, nevienādību, lietojot formulas variāciju vai kombināciju skaita noteikšanai.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5.2. Varbūtību teorijas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ilustrē ar piemēriem jēdzienus </w:t>
            </w:r>
            <w:r w:rsidR="00000000" w:rsidRPr="00000000" w:rsidDel="00000000">
              <w:rPr>
                <w:i w:val="1"/>
                <w:rtl w:val="0"/>
              </w:rPr>
              <w:t xml:space="preserve">eksperiments</w:t>
            </w:r>
            <w:r w:rsidR="00000000" w:rsidRPr="00000000" w:rsidDel="00000000">
              <w:rPr>
                <w:rtl w:val="0"/>
              </w:rPr>
              <w:t xml:space="preserve">/</w:t>
            </w:r>
            <w:r w:rsidR="00000000" w:rsidRPr="00000000" w:rsidDel="00000000">
              <w:rPr>
                <w:i w:val="1"/>
                <w:rtl w:val="0"/>
              </w:rPr>
              <w:t xml:space="preserve">mēģinājums</w:t>
            </w:r>
            <w:r w:rsidR="00000000" w:rsidRPr="00000000" w:rsidDel="00000000">
              <w:rPr>
                <w:rtl w:val="0"/>
              </w:rPr>
              <w:t xml:space="preserve">, </w:t>
            </w:r>
            <w:r w:rsidR="00000000" w:rsidRPr="00000000" w:rsidDel="00000000">
              <w:rPr>
                <w:i w:val="1"/>
                <w:rtl w:val="0"/>
              </w:rPr>
              <w:t xml:space="preserve">iznākumu kopa</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pretējais</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drošs notikums</w:t>
            </w:r>
            <w:r w:rsidR="00000000" w:rsidRPr="00000000" w:rsidDel="00000000">
              <w:rPr>
                <w:rtl w:val="0"/>
              </w:rPr>
              <w:t xml:space="preserve">, </w:t>
            </w:r>
            <w:r w:rsidR="00000000" w:rsidRPr="00000000" w:rsidDel="00000000">
              <w:rPr>
                <w:i w:val="1"/>
                <w:rtl w:val="0"/>
              </w:rPr>
              <w:t xml:space="preserve">neiespējams</w:t>
            </w:r>
            <w:r w:rsidR="00000000" w:rsidRPr="00000000" w:rsidDel="00000000">
              <w:rPr>
                <w:i w:val="1"/>
                <w:rtl w:val="0"/>
              </w:rPr>
              <w:t xml:space="preserve">notikums</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Konkrētos piemēros skaidro, kas ir notikuma absolūtais biežums, notikuma relatīvais biežums/statistiskā varbūtība; aprēķina statistisko varbūtību,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kas ir eksperiments/mēģinājums, definē </w:t>
            </w:r>
            <w:r w:rsidR="00000000" w:rsidRPr="00000000" w:rsidDel="00000000">
              <w:rPr>
                <w:i w:val="1"/>
                <w:rtl w:val="0"/>
              </w:rPr>
              <w:t xml:space="preserve">notikumu</w:t>
            </w:r>
            <w:r w:rsidR="00000000" w:rsidRPr="00000000" w:rsidDel="00000000">
              <w:rPr>
                <w:rtl w:val="0"/>
              </w:rPr>
              <w:t xml:space="preserve">, </w:t>
            </w:r>
            <w:r w:rsidR="00000000" w:rsidRPr="00000000" w:rsidDel="00000000">
              <w:rPr>
                <w:i w:val="1"/>
                <w:rtl w:val="0"/>
              </w:rPr>
              <w:t xml:space="preserve">iznākumu kopu, pretējo notikumu, drošu notikumu</w:t>
            </w:r>
            <w:r w:rsidR="00000000" w:rsidRPr="00000000" w:rsidDel="00000000">
              <w:rPr>
                <w:rtl w:val="0"/>
              </w:rPr>
              <w:t xml:space="preserve">, </w:t>
            </w:r>
            <w:r w:rsidR="00000000" w:rsidRPr="00000000" w:rsidDel="00000000">
              <w:rPr>
                <w:i w:val="1"/>
                <w:rtl w:val="0"/>
              </w:rPr>
              <w:t xml:space="preserve">neiespējamu notikumu</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lieto formulas permutāciju, variāciju un kombināciju skaita aprēķināšanai,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kas ir notikuma absolūtais biežums, definē notikuma relatīvo biežumu/statistisko varbūtību; aprēķina statistisko varbūtību, formulē datos balstītus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Nosaka, attēlo ar Eilera-Venna diagrammu divu notikumu apvienojumu, šķēlumu, starpību. Izmanto darbības ar notikumiem, lai skaidrotu un aprēķinātu varbūtību, t. sk. nesavienojamu notikumu apvienojuma varbūtību.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Skaidro, kas ir nosacītā varbūtība, un atšķirību starp </w:t>
            </w:r>
            <w:r w:rsidR="00000000" w:rsidRPr="00000000" w:rsidDel="00000000">
              <w:drawing>
                <wp:inline distR="101600" distT="101600" distB="101600" distL="101600">
                  <wp:extent cx="476250" cy="209550"/>
                  <wp:effectExtent t="0" b="0" r="0" l="0"/>
                  <wp:docPr id="73" name="media/image73.PNG"/>
                  <a:graphic>
                    <a:graphicData uri="http://schemas.openxmlformats.org/drawingml/2006/picture">
                      <pic:pic>
                        <pic:nvPicPr>
                          <pic:cNvPr id="73" name="media/image73.PNG"/>
                          <pic:cNvPicPr/>
                        </pic:nvPicPr>
                        <pic:blipFill>
                          <a:blip r:embed="rId73"/>
                          <a:srcRect/>
                          <a:stretch>
                            <a:fillRect/>
                          </a:stretch>
                        </pic:blipFill>
                        <pic:spPr>
                          <a:xfrm>
                            <a:ext cx="476250"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476250" cy="209550"/>
                  <wp:effectExtent t="0" b="0" r="0" l="0"/>
                  <wp:docPr id="74" name="media/image74.PNG"/>
                  <a:graphic>
                    <a:graphicData uri="http://schemas.openxmlformats.org/drawingml/2006/picture">
                      <pic:pic>
                        <pic:nvPicPr>
                          <pic:cNvPr id="74" name="media/image74.PNG"/>
                          <pic:cNvPicPr/>
                        </pic:nvPicPr>
                        <pic:blipFill>
                          <a:blip r:embed="rId74"/>
                          <a:srcRect/>
                          <a:stretch>
                            <a:fillRect/>
                          </a:stretch>
                        </pic:blipFill>
                        <pic:spPr>
                          <a:xfrm>
                            <a:ext cx="476250" cy="209550"/>
                          </a:xfrm>
                          <a:prstGeom prst="rect"/>
                          <a:ln/>
                        </pic:spPr>
                      </pic:pic>
                    </a:graphicData>
                  </a:graphic>
                </wp:inline>
              </w:drawing>
            </w:r>
            <w:r w:rsidR="00000000" w:rsidRPr="00000000" w:rsidDel="00000000">
              <w:rPr>
                <w:rtl w:val="0"/>
              </w:rPr>
              <w:t xml:space="preserve">; aprēķina nosacīto varbūtību, izmantojot notikumu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 Pamato, kāpēc dotie notikumi ir vai nav neatkarīgi, izmantojot nosacīto varbūtību. Aprēķina varbūtību, lietojot varbūtību reizināšanas teorēmu.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Aprēķina savienojamu notikumu apvienojuma varbūtību, izmantojot darbības ar kopām un to vizuālo attēlojumu.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Lieto pilnās varbūtības formulu varbūtības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Praktiska konteksta piemēros skaidro, nosaka, analizē mainīga lieluma (iespējamo vērtību skaits galīgs) varbūtības sadalījumu, aprēķina mainīgā lieluma sagaidāmo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Praktiska konteksta piemēros skaidro vienmērīgo, Bernulli un binomiālo sadalījumu diskrētiem mainīgiem lielumiem, lieto Bernulli formulu varbūtības aprēķināšanai. Skaidro saistību starp binomiālo sadalījumu diskrētiem mainīgiem lielumiem un normālo sadalījumu nepārtrauktiem mainīgiem lielumiem.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5.3. Statistikas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Atšķir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Raksturo pētījumu/eksperimentu, tā mērķi, piemēram, izlases reprezentativitāti, izvēlētā mainīgā lieluma (pazīmes) atbilstību pētāmai problēmai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vai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Dotus autentiskus datus apstrādā, attēlo un raksturo, izmantojot aprakstošās statistikas IT rīkus, formulē datos balstītus secinājumus.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 izmanto IT rīkus, lai raksturotu un pamatotu izlašu un populācijas (ģenerālkopas) raksturlielumu atšķirību, secina par izlašu raksturlielumu izmaiņām, palielinot izlašu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Argumentēti raksturo pētījumu/eksperimentu, tā mērķi, piemēram, izlases reprezentativitāti, izvēlētā mainīgā lieluma (pazīmes) atbilstību pētāmai problēmai, vidējo lielumu un izkliedes mēru lietojumu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vai vairākas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izkliedes diagrammu, Pīrsona korelācijas koeficientu (lineāra saistība) un atbilstošus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Konkrētos piemēros nosaka un argumentē, vai saistība starp atkarīgo un neatkarīgo mainīgo ļauj secināt arī par cēloņsakarību.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 Patstāvīgi pēta divu lielumu saistību, t. sk. korelāciju, – izvēlas lielumus, plāno pētījumu un ievāc datus, izmanto IT rīkus datu apstrādei un attēlošanai, analizē datus un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Dotai histogrammai piemeklē normālo sadalījumu (Gausa līkni), kas tai atbilst vislabāk, izmantojot IT rīkus. Raksturo attēlotos datus, izmantojot vidējo vērtību, standartnovirzi un vienas, divu un trīs standartnoviržu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Lai aprakstītu datus, pamatoti izvēlas (pamato ar datu simetriskumu un normālo sadalījumu) un aprēķina būtiskākos lielumu pārus: vidējo vērtību un standartnovirzi vai mediānu un starpkvartiļu amplitūdu.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Izmanto lineāro regresiju, atbilstošus IT rīkus, lai analizētu divu mainīgo lielumu (pazīmju) saistību.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Izvēlas sev nozīmīgu kontekstu, formulē pētāmo jautājumu, plāno un veic pētījumu/eksperimentu, iegūst datus, izmanto IT rīkus datu apstrādei, analizē datus, formulē datos balstītus secinājumus un pamato savas darbības katrā no soļiem.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6.1. Plaknes figūras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Praktiskos, autentiskos kontekstos lieto pamatizglītībā apgūtās sakarības starp trijstūra, četrstūra malām, leņķiem un raksturīgo nogriežņu garumiem, plaknes figūru vienādību un 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Praktiskos, autentiskos kontekstos plāno un aprēķina trijstūra, četrstūra, daudzstūra, riņķa, riņķa daļu un to kombināciju laukumu, atkarībā no dotiem lielumiem nepieciešamības gadījumā uzziņu literatūrā meklē atbilstošo formulu, skaidro lietotos apzīmējumus un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Ģeometriski modelē praktiskas problēmas risinājumu, lietojot paralēlo pārnesi, aksiālo simetriju vai pagriezienu, t. sk. izmantojot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Pierāda sinusu teorēmu, kosinusu teorēmu un tās lieto situācijās ar matemātisku vai citu mācību jomu kontekstu.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Lieto paralēlo pārnesi, aksiālo simetriju, pagriezienu un homotētiju pazīstamos matemātiskos kontekstos, piemēram, lai noteiktu plaknes figūras novietojumu koordinātu plaknē, raksturotu funkcijas grafika pārbīdi, noteiktu dotai taisnei perpendikulāras taisnes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Veido pierādījumu, lietojot apgūtos matemātikas instrumentus – trijstūru līdzību, ģeometriskos pārveidojumus, vektorus, koordinātu metodi –, lai pierādītu pazīstamu plaknes figūru īpašības jaunās situācijās, piemēram, trijstūra mediānu īpašību, trijstūra bisektrises īpašību, krustisku hordu īpašību.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Skaidro ģeometriskos pārveidojumus kā funkcijas, kuru definīcijas kopa ir plaknes punkti. Lieto ģeometriskos pārveidojumus un to īpašības, lai jaunās situācijās noteiktu plaknes figūru lielumus, pamatotu to īpašības.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6.2. Analītiskā ģeometrija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Lieto vektorus ģeometriskā formā citu mācību jomu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attēlo zīmējumā; aprēķina attālumu starp diviem punktiem koordinātu plaknē un telpā, lieto sakarību starp nogriežņa galapunktu un viduspunkta koordinātām.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t. sk. ja tā paralēla ordinātu asij, un vienkāršās situācijās nosaka taisnes virziena koeficientu un uzraksta taisnes vienādojumu pēc tās attēla koordinātu plaknē, lieto taisnes atklāto vienādojumu, vienādojumu ar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Veido spriedumus, lietojot darbību ar vektoriem īpašības, divu vektoru kolinearitātes nosacījumu. Lieto vektorus ģeometriskā formā citu mācību jomu vai matemātiskā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 lieto vektorus koordinātu formā,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ievērojot dotos nosacījumus, attēlo zīmējumā; aprēķina attālumu starp diviem punktiem koordinātu plaknē un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un uzraksta taisnes vienādojumu pēc tās attēla koordinātu plaknē, t. sk. ja tā paralēla ordinātu asij, lieto taisnes atklāto vienādojumu, vienādojumu ar virziena koeficientu, vienādojumu caur diviem punktiem, vispārīgo vienādojumu, pāriet no viena veida uz citu; izvēlas taisnes uzdošanas veidu un to lieto,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Formulē un lieto sakarības starp koeficientiem paralēlu un perpendikulāru taišņu vienādojumos.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6.2.6. Formulē saistību starp taisni, kas uzdota ar vispārīgo vienādojumu </w:t>
            </w:r>
            <w:r w:rsidR="00000000" w:rsidRPr="00000000" w:rsidDel="00000000">
              <w:drawing>
                <wp:inline distR="101600" distT="101600" distB="101600" distL="101600">
                  <wp:extent cx="1114425" cy="209550"/>
                  <wp:effectExtent t="0" b="0" r="0" l="0"/>
                  <wp:docPr id="75" name="media/image75.PNG"/>
                  <a:graphic>
                    <a:graphicData uri="http://schemas.openxmlformats.org/drawingml/2006/picture">
                      <pic:pic>
                        <pic:nvPicPr>
                          <pic:cNvPr id="75" name="media/image75.PNG"/>
                          <pic:cNvPicPr/>
                        </pic:nvPicPr>
                        <pic:blipFill>
                          <a:blip r:embed="rId75"/>
                          <a:srcRect/>
                          <a:stretch>
                            <a:fillRect/>
                          </a:stretch>
                        </pic:blipFill>
                        <pic:spPr>
                          <a:xfrm>
                            <a:ext cx="1114425" cy="209550"/>
                          </a:xfrm>
                          <a:prstGeom prst="rect"/>
                          <a:ln/>
                        </pic:spPr>
                      </pic:pic>
                    </a:graphicData>
                  </a:graphic>
                </wp:inline>
              </w:drawing>
            </w:r>
            <w:r w:rsidR="00000000" w:rsidRPr="00000000" w:rsidDel="00000000">
              <w:rPr>
                <w:rtl w:val="0"/>
              </w:rPr>
              <w:t xml:space="preserve">, un vektoru, kura koordinātas ir </w:t>
            </w:r>
            <w:r w:rsidR="00000000" w:rsidRPr="00000000" w:rsidDel="00000000">
              <w:drawing>
                <wp:inline distR="101600" distT="101600" distB="101600" distL="101600">
                  <wp:extent cx="381000" cy="209550"/>
                  <wp:effectExtent t="0" b="0" r="0" l="0"/>
                  <wp:docPr id="76" name="media/image76.PNG"/>
                  <a:graphic>
                    <a:graphicData uri="http://schemas.openxmlformats.org/drawingml/2006/picture">
                      <pic:pic>
                        <pic:nvPicPr>
                          <pic:cNvPr id="76" name="media/image76.PNG"/>
                          <pic:cNvPicPr/>
                        </pic:nvPicPr>
                        <pic:blipFill>
                          <a:blip r:embed="rId76"/>
                          <a:srcRect/>
                          <a:stretch>
                            <a:fillRect/>
                          </a:stretch>
                        </pic:blipFill>
                        <pic:spPr>
                          <a:xfrm>
                            <a:ext cx="381000" cy="209550"/>
                          </a:xfrm>
                          <a:prstGeom prst="rect"/>
                          <a:ln/>
                        </pic:spPr>
                      </pic:pic>
                    </a:graphicData>
                  </a:graphic>
                </wp:inline>
              </w:drawing>
            </w:r>
            <w:r w:rsidR="00000000" w:rsidRPr="00000000" w:rsidDel="00000000">
              <w:rPr>
                <w:rtl w:val="0"/>
              </w:rPr>
              <w:t xml:space="preserve">, lieto to figūru īpašību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6.2.7. Nosaka sakarības </w:t>
            </w:r>
            <w:r w:rsidR="00000000" w:rsidRPr="00000000" w:rsidDel="00000000">
              <w:drawing>
                <wp:inline distR="101600" distT="101600" distB="101600" distL="101600">
                  <wp:extent cx="1647825" cy="209550"/>
                  <wp:effectExtent t="0" b="0" r="0" l="0"/>
                  <wp:docPr id="77" name="media/image77.PNG"/>
                  <a:graphic>
                    <a:graphicData uri="http://schemas.openxmlformats.org/drawingml/2006/picture">
                      <pic:pic>
                        <pic:nvPicPr>
                          <pic:cNvPr id="77" name="media/image77.PNG"/>
                          <pic:cNvPicPr/>
                        </pic:nvPicPr>
                        <pic:blipFill>
                          <a:blip r:embed="rId77"/>
                          <a:srcRect/>
                          <a:stretch>
                            <a:fillRect/>
                          </a:stretch>
                        </pic:blipFill>
                        <pic:spPr>
                          <a:xfrm>
                            <a:ext cx="1647825" cy="209550"/>
                          </a:xfrm>
                          <a:prstGeom prst="rect"/>
                          <a:ln/>
                        </pic:spPr>
                      </pic:pic>
                    </a:graphicData>
                  </a:graphic>
                </wp:inline>
              </w:drawing>
            </w:r>
            <w:r w:rsidR="00000000" w:rsidRPr="00000000" w:rsidDel="00000000">
              <w:rPr>
                <w:rtl w:val="0"/>
              </w:rPr>
              <w:t xml:space="preserve"> punktu ģeometrisko vietu un otrādi – veido riņķa līnijas vienādojumu pēc tās attēlojuma koordinātu plaknē, zinot riņķa līnijas centra koordinātas un rādiusu.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Nosaka vektora projekciju uz patvaļīgas ass, izsaka vektoru plaknē kā divu vektoru (nav kolineāri) lineāru kombināciju plaknē, kā trīs vektoru (nav komplanāri) lineāru kombināciju telpā. To izmanto, lai skaidrotu, ka vektora koordinātas viennozīmīgi raksturo vektoru.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Lieto vektoru skalāro reizinājumu un īpašības, lai noteiktu un pierādītu figūru īpašības. Aprēķina vektoru skalāro reizinājumu koordinātu formā, lai noteiktu leņķi starp vektoriem.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Pamato un lieto formulu attāluma no punkta līdz taisnei noteikšanai. Aprēķina leņķi starp divām taisnēm, izmantojot zināšanas par leņķi starp vektoriem.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6.2.4. Nosaka analītiski uzdotas sakarības, piemēram, </w:t>
            </w:r>
            <w:r w:rsidR="00000000" w:rsidRPr="00000000" w:rsidDel="00000000">
              <w:drawing>
                <wp:inline distR="101600" distT="101600" distB="101600" distL="101600">
                  <wp:extent cx="781050" cy="209550"/>
                  <wp:effectExtent t="0" b="0" r="0" l="0"/>
                  <wp:docPr id="78" name="media/image78.PNG"/>
                  <a:graphic>
                    <a:graphicData uri="http://schemas.openxmlformats.org/drawingml/2006/picture">
                      <pic:pic>
                        <pic:nvPicPr>
                          <pic:cNvPr id="78" name="media/image78.PNG"/>
                          <pic:cNvPicPr/>
                        </pic:nvPicPr>
                        <pic:blipFill>
                          <a:blip r:embed="rId78"/>
                          <a:srcRect/>
                          <a:stretch>
                            <a:fillRect/>
                          </a:stretch>
                        </pic:blipFill>
                        <pic:spPr>
                          <a:xfrm>
                            <a:ext cx="781050" cy="209550"/>
                          </a:xfrm>
                          <a:prstGeom prst="rect"/>
                          <a:ln/>
                        </pic:spPr>
                      </pic:pic>
                    </a:graphicData>
                  </a:graphic>
                </wp:inline>
              </w:drawing>
            </w:r>
            <w:r w:rsidR="00000000" w:rsidRPr="00000000" w:rsidDel="00000000">
              <w:rPr>
                <w:rtl w:val="0"/>
              </w:rPr>
              <w:t xml:space="preserve">, punktu ģeometrisko vietu un otrādi – veido, pārbauda līniju vienādojumus pēc to attēlojumiem koordinātu plaknē.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6.3. Telpiski ķermeņi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Izmantojot daudzskaldņu modeļus vai attēlus, skaidro plaknes novilkšanu, raksturo taisnes un plaknes, divu plakņu paralelitāti un perpendikularitāti.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Konkrētos piemēros nosaka perpendikulu, slīpni, slīpnes projekciju, leņķi starp taisni un plakni, divplakņu kakta leņķi; praktiskos kontekstos lieto sakarības starp slīpņu un to projekciju garumiem, triju perpendikulu teorēmu.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Praktiskā darbībā pēta un formulē secinājumus par plaknes figūras un telpiska ķermeņa attēliem paralēlajā projicēšanā.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Praktiski modelē telpiskus ķermeņus, veido zīmējumu, t. sk. lietojot digitālos rīkus, kas palīdz atrisināt problēmu, – attēlo noteiktas dotā telpiskā ķermeņa virsmas daļas/plaknes, raksturīgos šķēlumus, aprakstoši raksturo 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Praktiskos, citu mācību jomu un vienkāršos matemātiskos kontekstos aprēķina pamatizglītībā apgūto telpisko ķermeņu, piramīdas, nošķeltas piramīdas, konusa, nošķelta konusa, sfēras/lodes, tās daļu un vienkāršāko kombināciju (prizma un cilindrs, prizma un lode) raksturīgos lielumus, virsmas laukumu vai tilpumu. Ja nepieciešams, uzziņu literatūrā meklē atbilstošo formulu, skaidro lietotos apzīmējumus un 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 nosacījumus plaknes novilkšanai, īpašības un pazīmes, kas raksturo taisnes un plaknes, divu plakņu paralelitāti un perpendikularitāti, lai raksturotu, pamatotu telpisku ķermeņu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Definē perpendikulu, slīpni, slīpnes projekciju, leņķi starp taisni un plakni, divplakņu kakta leņķi, formulē un pamato sakarības starp slīpņu un to projekciju garumiem, triju perpendikulu teorēmu, lai raksturotu, pamatotu telpisku ķermeņu īpašības, aprēķinātu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zīmējumu, ievērojot nosacījumus par to, kādi telpiska ķermeņa lielumi saglabājas, kādi – nesaglabājas.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spriedumus par daudzskaldņa šķēlumu ar plakni, veido daudzskaldņa šķēlumu ar plakni, ja dotie plaknes punkti ir tieši savienojami, attēlo un matemātiski apraksta daudzskaldņu un rotācijas ķermeņu raksturīgos šķēlumus un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Aprēķina telpisku ķermeņu (taisna prizma, piramīda, cilindrs, konuss, lode), to daļu un vienkāršāko kombināciju (prizma un cilindrs, prizma un lode) elementu raksturīgos lielumus, virsmas laukumu, tilpumu, ja dotie lielumi ir konkrēti un vispārīgi uzdoti lielumi, t. sk. lietojot plaknes figūru līdzību, sakarības starp lielumiem modelējot algebriski.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Skaidro stereometriju kā vienu no aksiomātiskām sistēmām un veido pierādījumus, izmantojot piederības aksiomas, secinājumus no tām, lietojot tiešo pierādījumu un pierādījumu no pretējā.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Plaknes figūras attēlo zīmējuma plaknē, lietojot paralēlo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daudzskaldņu (prizmu, piramīdu) šķēlumu ar plakni, izmantojot paralēlo un centrālo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un pamato plaknes figūru savstarpējo novietojumu telpiskos ķermeņos, t. sk. skaidro, nosaka leņķi starp šķērsām taisnēm; algebriski modelē un pamato sakarības starp lielumiem, nosaka un pamato lielumu iespējamās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Pamato un lieto slīpas prizmas virsmas laukuma un tilpuma aprēķināšanas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Veido rotācijas ķermeņa zīmējumu, ja zināma rotācijas ass un plaknes figūra, kas rotē ap to; plāno, pamato un aprēķina rotācijas ķermeņa virsmas laukumu un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Pamato telpisku ķermeņu kombinācijas eksistenci (iespēju ievilkt, apvilkt), veido, pamato tās attēlojumu, lietojot paralēlo vai centrālo projicēšanu, veido, pamato sakarības starp abu ķermeņu raksturīgajiem lielumiem.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24-TA-1054</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 Target="media/image72.PNG" Type="http://schemas.openxmlformats.org/officeDocument/2006/relationships/image" Id="rId72"/><Relationship Target="media/image73.PNG" Type="http://schemas.openxmlformats.org/officeDocument/2006/relationships/image" Id="rId73"/><Relationship Target="media/image74.PNG" Type="http://schemas.openxmlformats.org/officeDocument/2006/relationships/image" Id="rId74"/><Relationship Target="media/image75.PNG" Type="http://schemas.openxmlformats.org/officeDocument/2006/relationships/image" Id="rId75"/><Relationship Target="media/image76.PNG" Type="http://schemas.openxmlformats.org/officeDocument/2006/relationships/image" Id="rId76"/><Relationship Target="media/image77.PNG" Type="http://schemas.openxmlformats.org/officeDocument/2006/relationships/image" Id="rId77"/><Relationship Target="media/image78.PNG" Type="http://schemas.openxmlformats.org/officeDocument/2006/relationships/image" Id="rId7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noteikumu_konsolidētā_versija_p6_24-TA-1054.docx</dc:title>
</cp:coreProperties>
</file>

<file path=docProps/custom.xml><?xml version="1.0" encoding="utf-8"?>
<Properties xmlns="http://schemas.openxmlformats.org/officeDocument/2006/custom-properties" xmlns:vt="http://schemas.openxmlformats.org/officeDocument/2006/docPropsVTypes"/>
</file>