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16.04.2024. noteikumu Nr. 242 redakcijā; pielikuma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vai maršruta kartiņas (bez kartes). Izvēlas maršrutam atbilstošas stratēģijas un veic maršrutu atbilstoši izvirzītajam mērķim, izvērtē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Analizē un demonstrē daudzveidīgas militāro prasmju kombinācijas atbilstoši situācijai, piemēram, kombinējot sakaru, lauka kaujas prasmes, navigācijas, līderības un komandas sadarbības prasmes.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Izprot drošības noteikumus, ievēro disciplīnu un izpilda vadītāja dotās komandas paaugstinātas bīstamības nodarbībās.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noteikumu_konsolidētā_versija_p8_24-TA-1054.docx</dc:title>
</cp:coreProperties>
</file>

<file path=docProps/custom.xml><?xml version="1.0" encoding="utf-8"?>
<Properties xmlns="http://schemas.openxmlformats.org/officeDocument/2006/custom-properties" xmlns:vt="http://schemas.openxmlformats.org/officeDocument/2006/docPropsVTypes"/>
</file>