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(Latvijas Vēstnesis, 2023, 250. nr.; 2024, 86.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programmas iznākuma rādītājs – biedrības, nodibinājumi un uzņēmumi, kas saņēmuši atbalstu, – 15, bet projekta iesniegumā plāno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4.3.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"38.1.1. pasākumus interešu konflikta riska kontrolei atbalsta piešķiršanas procedūrā un publiskajos iepirkumos – preventīvus pasākumus un konstatēšanas pasākumus interešu konflikta riska kontrolei, tai skaitā paziņošanas procedūru, kā arī labošanas pasākumus, tai skaitā ietverot informāciju par interešu konflikta novēršanu saskaņā ar Eiropas Parlamenta un Padomes 2024. gada 23. septembra Regulas (ES, Euratom) 2024/2509 par finanšu noteikumiem, ko piemēro Savienības vispārējam budžetam (pārstrādāta redakcija) (turpmāk – regula 2024/2509), 61.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piesaistot šo noteikumu 17. punktā minēto atbalstāmo darbību veikšanai nepieciešamo personālu vai īstenojot iepirkumus, nodrošina, ka projekta īstenošanas laikā tiek ievēroti interešu konflikta, korupcijas un krāpšanas novēršanas nosacījumi, un paredz, ka projekta vadībā iesaistītais personāls un iepirkumu līgumu izpildītāji paraksta apliecinājumus par interešu konflikta neesību saskaņā ar regulas 2024/2509 61. pantu un normatīvajiem aktiem publisko iepirkumu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"38.4. nodrošina komunikācijas un vizuālās identitātes prasības, kas noteiktas regulas Nr. 2021/1060 47. un 50. pantā, normatīvajos aktos par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 izstrādā un iesniedz atbildīgajā iestādē informācijai projekta komunikācijas plānu, kā arī organizē vismaz vienu sabiedrības izpratnes veidošanas pasākumu, kurā iesaista Eiropas Komisijas pārstāvniecību Latvijā, atbildīgo iestādi, vadošo iestādi un sadarbības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Atbalsta pretendents </w:t>
      </w:r>
      <w:r w:rsidR="00000000" w:rsidRPr="00000000" w:rsidDel="00000000">
        <w:rPr>
          <w:i w:val="1"/>
          <w:rtl w:val="0"/>
        </w:rPr>
        <w:t xml:space="preserve">de minimis</w:t>
      </w:r>
      <w:r w:rsidR="00000000" w:rsidRPr="00000000" w:rsidDel="00000000">
        <w:rPr>
          <w:rtl w:val="0"/>
        </w:rPr>
        <w:t xml:space="preserve"> atbalsta pieteikumu iesniedz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24-TA-3269</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24-TA-3269</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noteikumu_(grozījumu)_projekts_24-TA-3269.docx</dc:title>
</cp:coreProperties>
</file>

<file path=docProps/custom.xml><?xml version="1.0" encoding="utf-8"?>
<Properties xmlns="http://schemas.openxmlformats.org/officeDocument/2006/custom-properties" xmlns:vt="http://schemas.openxmlformats.org/officeDocument/2006/docPropsVTypes"/>
</file>