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zemāko mēnešalgu un speciālo piemaksu veselības aprūpes jomā nodarbinātajiem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12. pantu un 15.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zemākās mēnešalgas pašvaldību iestādēs, valsts iestādēs, valsts un pašvaldību kapitālsabiedrībās vai publiski privātās kapitālsabiedrībās (turpmāk – ārstniecības iestāde) nodarbinātajām ārstniecības personām, kas sniedz no valsts vai pašvaldības budžeta apmaksātos veselības aprūpes pakalpojumus, ārstniecības personām, kas sniedz no pašvaldību budžetiem apmaksātos veselības aprūpes pakalpojumus pašvaldību izglītības iestādēs (turpmāk – ārstniecības persona), kā arī medicīnas asistentiem, Valsts tiesu medicīnas ekspertīzes centrā nodarbinātajiem tiesu medicīnas ekspertiem un Neatliekamās medicīniskās palīdzības dienesta neatliekamās medicīniskās palīdzības brigādes operatīvā medicīniskā transportlīdzekļa vadītājiem (turpmāk – transportlīdzekļa vadītājs);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speciālo piemaksu par darbu, kas saistīts ar īpašu risku (turpmāk – piemaksa), tās apmērus un noteikšanas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noteiktu ārstniecības personu, kā arī medicīnas asistentu un transportlīdzekļa vadītāju mēnešalgu, ārstniecības iestādes vadītāja, pašvaldības izglītības iestādes vadītāja vai Ieslodzījuma vietu pārvaldes priekšnieka izveidota komisija (ne mazāk kā triju cilvēku sastāvā) novērtē attiecīgos amatus un nosaka amata kvalifikācijas kategoriju saskaņā ar normatīvajiem aktiem par intelektuālā darba novērtēšanas un amatu kvalifikācijas kategoriju noteikšanas pamatmetodiku no valsts budžeta finansējamo institūciju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vadītājs, pašvaldības izglītības iestādes vadītājs vai Ieslodzījuma vietu pārvaldes priekšnieks, ņemot vērā attiecīgās iestādes darba samaksas fondu, kā arī šo noteikumu 1. un 2. pielikumu, apstiprina attiecīgās iestādes ārstniecības personu, kā arī medicīnas asistentu un transportlīdzekļa vadītāju mēnešalgu skalu (turpmāk – mēnešalgu skala).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medicīnas asistenta un transportlīdzekļa vadītāja konkrēto mēnešalgas apmēru atbilstoši amata kvalifikācijas kategorijai nosaka ārstniecības iestādes vadītājs, pašvaldības izglītības iestādes vadītājs vai Ieslodzījuma vietu pārvaldes priekšnieks, ievērojot mēnešalgu skalā noteiktos mēnešalgu apmērus.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personām, medicīnas asistentiem un transportlīdzekļa vadītājiem, kuriem mēnešalgu nosaka atbilstoši darba apjomam (stundu skaitam mēnesī), faktisko mēnešalgu aprēķina, mēnešalgu reizinot ar faktiski nostrādāto stundu skaitu un iegūto reizinājumu dalot ar vienai darba algas likmei atbilstošo stundu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persona, medicīnas asistents vai transportlīdzekļa vadītājs par darbu, kas saistīts ar īpašu risku, saņem speciālo piemaksu saskaņā ar šo noteikumu 3. pielikumu. Piemaksu aprēķina, pamatojoties uz mēnešalgu skalā noteiktajiem mēnešalgu apmēriem.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iestādes vadītājs, pašvaldības izglītības iestādes vadītājs vai Ieslodzījuma vietu pārvaldes priekšnieks nosaka šo noteikumu 6. punktā minēto speciālo piemaksu piešķiršanas kārtību, tās apmēra noteikšanas kritērijus un konkrētus piemaksas apmērus.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Ārstniecības personai, medicīnas asistentam un transportlīdzekļa vadītājam atbilstoši darba stāžam ārstniecības jomā tiek noteikta speciālā piemaksa šādā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darba stāžs ir no 1 gada līdz 9 gadiem (ieskaitot), – līdz 10 % no personai noteiktās mēnešalgas;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darba stāžs ir no 10 līdz 15 gadiem (ieskaitot), – no 1 līdz 10 % no personai noteiktās mēnešalgas;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darba stāžs ir no 16 līdz 20 gadiem (ieskaitot), – no 2 līdz 15 % no personai noteiktās mēnešalgas;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darba stāžs ir vairāk nekā 20 gadi, – no 3 līdz 15 % no personai noteiktās mēnešalgas.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8. punktā minētās speciālās piemaksas apmēru nosaka, ievērojot ārstniecības personas, medicīnas asistenta vai transportlīdzekļa vadītāja izglītības līmeni, akadēmisko vai zinātnisko grādu un darba 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Noteikumu izpilde finansējama ārstniecības iestādes, pašvaldības izglītības iestādes vai Ieslodzījuma vietu pārvaldes darba samaksas fonda ietvaros atbilstoši likumam par valsts budžetu kārtējam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Atzīt par spēku zaudējušiem Ministru kabineta 2010. gada 29. jūnija noteikumus Nr. 595 "Noteikumi par zemāko mēnešalgu un speciālo piemaksu ārstniecības personām" (Latvijas Vēstnesis, 2010, 103., 204. nr.; 2013, 250. nr.; 2014, 257. nr.; 2015, 252. nr.; 2016, 251. nr.; 2017, 254.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Noteikumi stājas spēkā 2019.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21-TA-1542</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21-TA-1542</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noteikumu_konsolidētā_versija_21-TA-1542.docx</dc:title>
</cp:coreProperties>
</file>

<file path=docProps/custom.xml><?xml version="1.0" encoding="utf-8"?>
<Properties xmlns="http://schemas.openxmlformats.org/officeDocument/2006/custom-properties" xmlns:vt="http://schemas.openxmlformats.org/officeDocument/2006/docPropsVTypes"/>
</file>