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br/>
      </w:r>
      <w:r w:rsidR="00000000" w:rsidRPr="00000000" w:rsidDel="00000000">
        <w:rPr>
          <w:rStyle w:val="paragraph"/>
          <w:i w:val="1"/>
          <w:rtl w:val="0"/>
        </w:rPr>
        <w:t xml:space="preserve">14. panta 19. punktu un </w:t>
      </w:r>
      <w:r w:rsidR="00000000" w:rsidRPr="00000000" w:rsidDel="00000000">
        <w:rPr>
          <w:rStyle w:val="paragraph"/>
          <w:i w:val="1"/>
          <w:rtl w:val="0"/>
        </w:rPr>
        <w:t xml:space="preserve">Vispārējās izglītības likuma</w:t>
      </w:r>
      <w:r>
        <w:br/>
      </w:r>
      <w:r w:rsidR="00000000" w:rsidRPr="00000000" w:rsidDel="00000000">
        <w:rPr>
          <w:rStyle w:val="paragraph"/>
          <w:i w:val="1"/>
          <w:rtl w:val="0"/>
        </w:rPr>
        <w:t xml:space="preserve">4. panta 11. un 11.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3. septembra noteikumos Nr. 416 "Noteikumi par valsts vispārējās vidējās izglītības standartu un vispārējās vidējās izglītības programmu paraugiem" (Latvijas Vēstnesis, 2019, 197. nr.; 2021, 21. nr.; 2022,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Valsts pārbaudes darbi vispārējās vidējās izglītības pakāpē ir eksāmens, centralizēts eksāmens un monitoringa darbs, ko nosaka Ministru kabineta noteikumi par valsts pārbaudes darbu norises laiku attiecīgajā mācību gadā. Valsts noteiktajā pārbaudes darbā skolēna mācību sasnieguma vērtējumu izsaka procentos no maksimāli iespējamā punktu skaita attiecīgajā pārbaudes darbā.";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Valsts noteiktie pārbaudes darbi vispārējās vidējās izglītības posmā ir šādi: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valsts pārbaudes darbs latviešu valodā vismaz optimālajā mācību satura apguves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valsts pārbaudes darbs svešvalodā (angļu, vācu vai franču) vismaz optimālajā (B2) mācību satura apguves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valsts pārbaudes darbs matemātikā vismaz optimālajā mācību satura apguves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valsts pārbaudes darbs dabaszinībās vispārīgajā mācību satura apguves līmenī vai fizikā, ķīmijā vai bioloģijā vismaz optimālajā mācību satura apguves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ne mazāk kā divi valsts pārbaudes darbi padziļinātājos kursos augstākajā mācību satura apguves līmenī, tajā skaitā arī šo noteikumu 21.1., 21.2., 21.3. un 21.4. apakšpunktā minētie pārbaudes darbi.";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Šo noteikumu 21.3.1 apakšpunkts stājas spēkā 2023. gada 1. septembrī."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22-TA-2091</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22-TA-2091</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noteikumu_(grozījumu)_projekts_22-TA-2091.docx</dc:title>
</cp:coreProperties>
</file>

<file path=docProps/custom.xml><?xml version="1.0" encoding="utf-8"?>
<Properties xmlns="http://schemas.openxmlformats.org/officeDocument/2006/custom-properties" xmlns:vt="http://schemas.openxmlformats.org/officeDocument/2006/docPropsVTypes"/>
</file>