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 (Latvijas Vēstnesis, 2024, 64.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27.7.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"27.7. horizontālā principa "Vienlīdzība,  iekļaušana, nediskriminācija un pamattiesību ievērošana" ievērošanas izmaksas šo noteikumu 25.2. apakšpunktā minētās darbības īstenošanai – zīmju valodas tulku, vieglās valodas tulkošanas, reāllaika transkripcijas un subtitru nodrošināšanas izmaksas."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24-TA-1122</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24-TA-1122</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noteikumu_(grozījumu)_projekts_24-TA-1122.docx</dc:title>
</cp:coreProperties>
</file>

<file path=docProps/custom.xml><?xml version="1.0" encoding="utf-8"?>
<Properties xmlns="http://schemas.openxmlformats.org/officeDocument/2006/custom-properties" xmlns:vt="http://schemas.openxmlformats.org/officeDocument/2006/docPropsVTypes"/>
</file>