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2014. gada 19. augusta noteikumos Nr. 500 "Vispārīgie būvnoteikumi"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Būvniecības likuma</w:t>
      </w:r>
      <w:r w:rsidR="00000000" w:rsidRPr="00000000" w:rsidDel="00000000">
        <w:rPr>
          <w:rStyle w:val="paragraph"/>
          <w:i w:val="1"/>
          <w:rtl w:val="0"/>
        </w:rPr>
        <w:t xml:space="preserve"> </w:t>
      </w:r>
      <w:r>
        <w:br/>
      </w:r>
      <w:r w:rsidR="00000000" w:rsidRPr="00000000" w:rsidDel="00000000">
        <w:rPr>
          <w:rStyle w:val="paragraph"/>
          <w:i w:val="1"/>
          <w:rtl w:val="0"/>
        </w:rPr>
        <w:t xml:space="preserve">5.panta pirmās daļas 1.punktu un 14.</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panta ceturto daļu </w:t>
      </w:r>
      <w:r>
        <w:br/>
      </w:r>
      <w:r w:rsidR="00000000" w:rsidRPr="00000000" w:rsidDel="00000000">
        <w:rPr>
          <w:rStyle w:val="paragraph"/>
          <w:i w:val="1"/>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2014. gada 19. augusta noteikumos Nr. 500 "Vispārīgie būvnoteikumi" (Latvijas Vēstnesis, 2014, 191. nr.; 2015, 254. nr.; 2017, 254. nr.; 2018, 191. nr.; 2019, 239. nr.; 2021, 23. nr.; 2022, 52.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tiesību akta izdošanas pamatojuma norādi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"Izdoti saskaņā ar Būvniecības likuma5.panta pirmās daļas 1.punktu un 14.</w:t>
      </w:r>
      <w:r w:rsidR="00000000" w:rsidRPr="00000000" w:rsidDel="00000000">
        <w:rPr>
          <w:vertAlign w:val="superscript"/>
          <w:rtl w:val="0"/>
        </w:rPr>
        <w:t xml:space="preserve">1 </w:t>
      </w:r>
      <w:r w:rsidR="00000000" w:rsidRPr="00000000" w:rsidDel="00000000">
        <w:rPr>
          <w:rtl w:val="0"/>
        </w:rPr>
        <w:t xml:space="preserve">panta ceturto daļu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1.8.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  gadījumus, kuros ir piemērojama atļaujas un saskaņojuma izdošana ar noklusējumu.";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svītrot 2.4.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 2.7.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svītrot 2.8.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svītrot 2.11.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 Atkarībā no būves grupas un speciālajos būvnoteikumos noteiktā būvniecības procesa būvvalde pieņem lēmumu par būvniecības ieceri Būvniecības likumā noteiktajā kārtībā un šo noteikumu 12.</w:t>
      </w:r>
      <w:r w:rsidR="00000000" w:rsidRPr="00000000" w:rsidDel="00000000">
        <w:rPr>
          <w:vertAlign w:val="superscript"/>
          <w:rtl w:val="0"/>
        </w:rPr>
        <w:t xml:space="preserve">2</w:t>
      </w:r>
      <w:r w:rsidR="00000000" w:rsidRPr="00000000" w:rsidDel="00000000">
        <w:rPr>
          <w:rtl w:val="0"/>
        </w:rPr>
        <w:t xml:space="preserve"> punktā noteiktajos termiņos. Būvdarbus var uzsākt pēc attiecīgā lēmuma pieņemšanas un atzīmju izdarīšanas par nosacījumu izpildi.";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papildināt ar 12.</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Būvvalde izskata būvniecības ieceres dokumentāciju (būvprojektu), pieņem lēmumu un izdara atbilstošas atzīmes būvniecības informācijas sistēmā šādos termiņos: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1. viena mēneša laikā - par  Būvniecības likuma 14.panta trešās daļas 1.punktā minēto jautājumu;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2.  10 darba dienu laikā - par  Būvniecības likuma 14.panta trešās daļas 2.punktā minēto jautājumu;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3.  10 darba dienu laikā – par Būvniecības likuma 16.panta 2.</w:t>
      </w:r>
      <w:r w:rsidR="00000000" w:rsidRPr="00000000" w:rsidDel="00000000">
        <w:rPr>
          <w:vertAlign w:val="superscript"/>
          <w:rtl w:val="0"/>
        </w:rPr>
        <w:t xml:space="preserve">2</w:t>
      </w:r>
      <w:r w:rsidR="00000000" w:rsidRPr="00000000" w:rsidDel="00000000">
        <w:rPr>
          <w:rtl w:val="0"/>
        </w:rPr>
        <w:t xml:space="preserve"> daļā un 17.panta 2.</w:t>
      </w:r>
      <w:r w:rsidR="00000000" w:rsidRPr="00000000" w:rsidDel="00000000">
        <w:rPr>
          <w:vertAlign w:val="superscript"/>
          <w:rtl w:val="0"/>
        </w:rPr>
        <w:t xml:space="preserve">1 </w:t>
      </w:r>
      <w:r w:rsidR="00000000" w:rsidRPr="00000000" w:rsidDel="00000000">
        <w:rPr>
          <w:rtl w:val="0"/>
        </w:rPr>
        <w:t xml:space="preserve">daļā minēto jautājumu, kā arī par izmaiņām būvatļaujā gadījumos, kad mainās būvatļaujas adresāts, būvdarbu vadītājs, būvuzraugs vai autoruzraugs;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4.  15 darba dienu laikā - atzīmi par projektēšanas nosacījumu izpildi;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5.  piecu darba dienu laikā - atzīmi par būvdarbu uzsākšanas nosacījumu izpildi no dienas, kad būvniecības informācijas sistēmā iesniegti dati, kas apliecina visu attiecīgo nosacījumu izpildi.";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papildināt ar 12.</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 Būvniecības likuma 14.</w:t>
      </w:r>
      <w:r w:rsidR="00000000" w:rsidRPr="00000000" w:rsidDel="00000000">
        <w:rPr>
          <w:vertAlign w:val="superscript"/>
          <w:rtl w:val="0"/>
        </w:rPr>
        <w:t xml:space="preserve">1</w:t>
      </w:r>
      <w:r w:rsidR="00000000" w:rsidRPr="00000000" w:rsidDel="00000000">
        <w:rPr>
          <w:rtl w:val="0"/>
        </w:rPr>
        <w:t xml:space="preserve"> panta otrā daļa ir piemērojama attiecībā uz Nacionālā kultūras mantojuma pārvaldes lēmumiem būvniecības administratīvajā procesā.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papildināt ar 12.</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 Būvniecības likuma 14.</w:t>
      </w:r>
      <w:r w:rsidR="00000000" w:rsidRPr="00000000" w:rsidDel="00000000">
        <w:rPr>
          <w:vertAlign w:val="superscript"/>
          <w:rtl w:val="0"/>
        </w:rPr>
        <w:t xml:space="preserve">1</w:t>
      </w:r>
      <w:r w:rsidR="00000000" w:rsidRPr="00000000" w:rsidDel="00000000">
        <w:rPr>
          <w:rtl w:val="0"/>
        </w:rPr>
        <w:t xml:space="preserve"> panta trešā daļa ir piemērojama, ja ir ievēroti būvnormatīvā noteiktie inženiertīklu savstarpējie attālumi (horizontālie, vertikālie):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1. gāzapgādes ārējie inženiertīkli ar spiedienu līdz 0,4 MPa;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2. elektroapgādes ārējie inženiertīkli ar spriegumu līdz 20 kV (ieskaitot);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3. ūdensapgādes ārējie inženiertīkli iekšējo diametru līdz 200 mm (ieskaitot);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4. kanalizācijas ārējie inženiertīkli iekšējo diametru līdz 200 mm (ieskaitot);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5. siltumapgādes ārējie inženiertīkli iekšējo diametru līdz 200 mm (ieskaitot);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6. elektronisko sakaru ārējie inženiertīkli;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7. pašvaldību ielas un ceļi.";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svītrot 14.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svītrot 14.</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izteikt 45.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"45. Ja būvekspertīze ir obligāta vai to pieprasa būvvalde, pamatojot būvekspertīzes nepieciešamību, būvekspertīzes veicēju izvēlas būvniecības ierosinātājs. Līgumu par būvekspertīzi slēdz un ar tā izpildi saistītos izdevumus sedz būvniecības ierosinātājs.";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izteikt 59.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"59. Ja būveksperts ir sniedzis negatīvu atzinumu par būvprojektu, viņam par to ir pienākums informēt Ekonomikas ministriju un Būvniecības valsts kontroles biroju (turpmāk – birojs), ja konstatētie trūkumi skar Būvniecības likumā noteiktās būtiskās būvei izvirzītās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izteikt 74.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"74. Būvvalde, saņemot būvatļaujā norādītos dokumentus, kas apliecina projektēšanas nosacījumu izpildi, pārliecinās, ka būvprojektam ir izstrādātas visas nepieciešamās daļas, būvprojekts atbilst vietējās pašvaldības teritorijas plānojumam, lokālplānojumam (ja tāds ir izstrādāts) un detālplānojumam (ja tas nepieciešams saskaņā ar normatīvajiem aktiem), izņemot gadījumus, kad būvprojekts attiecas uz nacionālo interešu objektu,  kā arī ir saņemta tehnisko noteikumu izdevēja piekrišana būvprojekta risinājumiem.";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svītrot 75.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izteikt 100.7.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"100.7. izdarīt ierakstus būvdarbu žurnālā par veiktajiem būvdarbiem, iebūvētajiem būvizstrādājumiem un darbu kvalitāti, kā arī būvdarbu laikā radītiem atkritumiem;"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izteikt 178.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"178. Ja uzsākta būvniecības administratīvā procesa ietvaros mainās būves grupa no zemākas būves grupas uz augstākas būves grupu un ir izdota būvatļauja, kurai līdz 2021.gada 31.oktobrim ir veikta atzīme par būvdarbu uzsākšanas nosacījumu izpildi, vai akceptēts paskaidrojuma raksts vai apliecinājuma karte, piemēro zemākai grupai atbilstošo būvniecības procesu. Ja šāda uzsākta būvniecības administratīvā procesa ietvaros būvējamās būves grupa tiek mainīta no otrās grupas uz trešo, būvniecības ieceres dokumentācijas vai tās izmaiņu būvekspertīze nav nepieciešama. Šādu izmaiņu gadījumā būvniecības ierosinātājam ir tiesības pabeigt būvniecības procesu, nemainot būvniecības iesnieguma veidu un ar to turpmāk procesuāli saistītos paziņojumus un iesniedzamos dokumentus.";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papildināt ar 181.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"181.  Ja būvniecības process noris, neizmantojot būvniecības informācijas sistēmu, būvdarbu žurnālā nenorāda informāciju par būvniecības atkritumiem. Būvniecības atkritumu informāciju norāda apliecinājumā par būves vai tās daļas gatavību ekspluatācijai vai būves nojaukšanu, apliecinājuma kartes II daļā, paskaidrojuma raksta II daļā, ierosinot būves nodošanu ekspluatācijā attiecīgajos būvnoteikumos noteiktajā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papildināt ar 182.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"182.  Ja līdz 2022.gada 30.jūnijam būvniecības informācijas sistēmā ir veikta atzīme par būvdarbu uzsākšanas nosacījumu izpildi, informāciju par būvniecības atkritumiem var nenorādīt būvdarbu žurnālā. Informāciju par būvniecības atkritumiem norāda pie būves nodošanas ekspluatācijā attiecīgajos būvnoteikumos noteiktajā kārtībā un apjomā.";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papildināt ar 183.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"183. Ja būvniecības process noris, neizmantojot būvniecības informācijas sistēmu, šo noteikumu 12.</w:t>
      </w:r>
      <w:r w:rsidR="00000000" w:rsidRPr="00000000" w:rsidDel="00000000">
        <w:rPr>
          <w:vertAlign w:val="superscript"/>
          <w:rtl w:val="0"/>
        </w:rPr>
        <w:t xml:space="preserve">3</w:t>
      </w:r>
      <w:r w:rsidR="00000000" w:rsidRPr="00000000" w:rsidDel="00000000">
        <w:rPr>
          <w:rtl w:val="0"/>
        </w:rPr>
        <w:t xml:space="preserve"> un 12.</w:t>
      </w:r>
      <w:r w:rsidR="00000000" w:rsidRPr="00000000" w:rsidDel="00000000">
        <w:rPr>
          <w:vertAlign w:val="superscript"/>
          <w:rtl w:val="0"/>
        </w:rPr>
        <w:t xml:space="preserve">4</w:t>
      </w:r>
      <w:r w:rsidR="00000000" w:rsidRPr="00000000" w:rsidDel="00000000">
        <w:rPr>
          <w:rtl w:val="0"/>
        </w:rPr>
        <w:t xml:space="preserve"> punkts nav piemērojams.";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papildināt ar 184.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"184. Grozījumi par šo noteikumu izdošanas tiesiskā pamata izteikšanu jaunā redakcijā, ciktāl tas attiecas uz norādes papildināšanu ar Būvniecības likuma 14.</w:t>
      </w:r>
      <w:r w:rsidR="00000000" w:rsidRPr="00000000" w:rsidDel="00000000">
        <w:rPr>
          <w:vertAlign w:val="superscript"/>
          <w:rtl w:val="0"/>
        </w:rPr>
        <w:t xml:space="preserve">1 </w:t>
      </w:r>
      <w:r w:rsidR="00000000" w:rsidRPr="00000000" w:rsidDel="00000000">
        <w:rPr>
          <w:rtl w:val="0"/>
        </w:rPr>
        <w:t xml:space="preserve">panta ceturto daļu un šo noteikumu 1.8. apakšpunkts, 12.</w:t>
      </w:r>
      <w:r w:rsidR="00000000" w:rsidRPr="00000000" w:rsidDel="00000000">
        <w:rPr>
          <w:vertAlign w:val="superscript"/>
          <w:rtl w:val="0"/>
        </w:rPr>
        <w:t xml:space="preserve">3</w:t>
      </w:r>
      <w:r w:rsidR="00000000" w:rsidRPr="00000000" w:rsidDel="00000000">
        <w:rPr>
          <w:rtl w:val="0"/>
        </w:rPr>
        <w:t xml:space="preserve">, 12.</w:t>
      </w:r>
      <w:r w:rsidR="00000000" w:rsidRPr="00000000" w:rsidDel="00000000">
        <w:rPr>
          <w:vertAlign w:val="superscript"/>
          <w:rtl w:val="0"/>
        </w:rPr>
        <w:t xml:space="preserve">4</w:t>
      </w:r>
      <w:r w:rsidR="00000000" w:rsidRPr="00000000" w:rsidDel="00000000">
        <w:rPr>
          <w:rtl w:val="0"/>
        </w:rPr>
        <w:t xml:space="preserve"> un 183. punkts stājas spēkā 2023.gada 1.jūlijā.";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izteikt 5.</w:t>
      </w:r>
      <w:r w:rsidR="00000000" w:rsidRPr="00000000" w:rsidDel="00000000">
        <w:rPr>
          <w:vertAlign w:val="superscript"/>
          <w:rtl w:val="0"/>
        </w:rPr>
        <w:t xml:space="preserve">1 </w:t>
      </w:r>
      <w:r w:rsidR="00000000" w:rsidRPr="00000000" w:rsidDel="00000000">
        <w:rPr>
          <w:rtl w:val="0"/>
        </w:rPr>
        <w:t xml:space="preserve">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2022. gada 1. jūlijā.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22-TA-972</w:t>
    </w:r>
    <w:r>
      <w:br/>
    </w:r>
    <w:r w:rsidR="00000000" w:rsidRPr="00000000" w:rsidDel="00000000">
      <w:rPr>
        <w:rtl w:val="0"/>
      </w:rPr>
      <w:t xml:space="preserve">Izdrukāts 30.07.2026. 00.01 - 4.0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22-TA-972</w:t>
    </w:r>
    <w:r>
      <w:br/>
    </w:r>
    <w:r w:rsidR="00000000" w:rsidRPr="00000000" w:rsidDel="00000000">
      <w:rPr>
        <w:rtl w:val="0"/>
      </w:rPr>
      <w:t xml:space="preserve">Izdrukāts 30.07.2026. 00.01 - 4.0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noteikumu_(grozījumu)_projekts_22-TA-972.docx</dc:title>
</cp:coreProperties>
</file>

<file path=docProps/custom.xml><?xml version="1.0" encoding="utf-8"?>
<Properties xmlns="http://schemas.openxmlformats.org/officeDocument/2006/custom-properties" xmlns:vt="http://schemas.openxmlformats.org/officeDocument/2006/docPropsVTypes"/>
</file>