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1.1.1. specifiskā atbalsta mērķa “Pētniecības un inovāciju kapacitātes stiprināšana un progresīvu tehnoloģiju ieviešana  kopējā P&amp;A sistēmā” 1.1.1.6. pasākuma “Zinātniskās darbības digitalizācija un  dalība Eiropas Atvērtajā zinātnes mākonī ”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1.1. prioritātes "Pētniecība un prasmes" 1.1.1. specifiskā atbalsta mērķa "Pētniecības un inovāciju kapacitātes stiprināšana un progresīvu tehnoloģiju ieviešana kopējā P&amp;A sistēmā" 1.1.1.6. pasākumu "Zinātniskās darbības digitalizācija un  dalība Eiropas Atvērtajā zinātnes mākonī"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atvērtā zinātne (Open science) – zinātniskā procesa pieeja, kas nodrošina publikāciju un pētījumu datu publisku pieejamību digitālā formātā bez ierobežojumiem vai ar minimāliem ierobežojumiem, kā arī padziļinātu sabiedrības iesaisti pētniecības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Atvērtās zinātnes mākonis (European Open Science Cloud) (turpmāk – EOSC) – Eiropas līmeņa iniciatīva pētniecības datu pārvaldības un to izmantošanas tehnoloģiju attīstībai ar mērķi nodrošināt Eiropas Savienības valstu pētniekiem uzticamu, atvērtu vidi pētniecības datu, rīku, procesa un rezultātu pārvaldībai, uzglabāšanai, pieejamībai, izmantošanai, un sadarbībai, ietverot federāciju un tehniskos risinājumus EOSC mezglu sadarbībai;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Atvērtās zinātnes mākoņa nacionālais mezgls (turpmāk – EOSC nacionālais mezgls) – Latvijas pētniecības datu un ar to apstrādi saistītie koplietošanas resursi un infrastruktūra ar noteiktu politiku un atbildībām, kas ir saistīta ar EOSC infrastruktūru, lai dalītos informācijā un resursos EOSC kopienā un izmantotu kopīgus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dati – informācija, kas nav zinātniska publikācija un kas tiek apkopota un/vai radīta zinātniskās pētniecības laikā un tiek izmantota pētniecības procesā, vai nepieciešama, lai apstiprinātu zinātnisko pētījumu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pētniecības datu pārvaldība – pētniecības procesa daļa, kurā tiek sagatavoti, organizēti un apstrādāti pētniecības dati, lai nodrošinātu to efektīvu izmantošanu, drošu saglabāšanu un iespēju atkalizmantot, ietverot, piemēram, datu pārvaldības un izmantošanas plānošanu, datu aprakstīšanu, datu sagatavošanu, strukturētu glabāšanu, arhivēšanu, metadatu veidošanu, piekļuves un izmantošanas organizēšanu un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pētniecības organizācija – zinātniskā institūcija,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pētniecības infrastruktūra – iekārtas, resursi un saistītie pakalpojumi, kas atbilst Komisijas regulas Nr. 651/2014 2. panta 91.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digitālā pētniecības infrastruktūra un pakalpojumi – pētniecības infrastruktūra un pakalpojumi, kas atbalsta digitalizētas informācijas apkopošanu, radīšanu un apstrādi pētniecības vajadzībām un  pētniecības pārvaldībai, ietverot datu pārraides, uzglabāšanas, skaitļošanas resursus un pakalpojumus, programmatūru un citus rīkus, datu apstrādes pakalpojumus, pakalpojumus šādas pētniecības pārvaldībai, kā arī to organizatorisko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FAIR (findable – atrodami, accessible – pieejami, interoperable – sadarbspējīgi, reusable – atkārtoti lietojami) datu pārvaldības principi – vadlīnijas pētniecības datu radīšanā un pārvaldībā iesaistītajām pusēm, kas definētas, lai  veicinātu pētniecības datu izmantošanu. Pēc FAIR datu pārvaldības principiem pārvaldītie dati ir atrodami, pieejami, sadarbspējīgi un atkārtoti lietojami.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nodrošināt Latvijas pētniekiem drošu, mūsdienīgu un ērtu piekļuvi un dalīšanos ar kvalitatīvi pārvaldītiem pētniecības datiem, piekļuvi datu apstrādes rīkiem un digitāliem pētniecības pakalpojumiem, nodrošināt Latvijas iekļaušanos Eiropas Pētniecības telpā, starpnozaru un starptautisko sadarbību, lielo datu un mākslīgā intelekta potenciāla izmantošanu, izveidojot un ieviešot EOSC nacionālo mezglu un koplietošanas pakalpojumus datu izmantošanai.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pētnieki publiskā un privātā sektorā, zinātniskās institūcijas, kas atbilst pētniecības organizācijas statusam, ko nosaka atbilstoši  EK Regulas Nr. 651/2014 2. panta 83. punkta definīcijai un Izglītības un zinātnes ministrijas apstiprinātajai metodikai par pētniecības un zināšanu izplatīšanas organizācijas noteikšanu, augstskolas, valsts tiešās pārvaldes iestādes, kas iesaistītas augstākās izglītības un pētniecības digitālo pakalpojumu izstrādē, ieviešanā un sniegšanā.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īstenots projekts, kas nav saistīts ar saimnieciskās darbības veikšanu. Atbalsts finansējuma saņēmējam un sadarbības partneriem nekvalificējas kā komercdarbības atbalsts. Finansējuma saņēmējam un sadarbības partneriem nav ietekmes uz konkurenci un tirdzniecību Eiropas Savienības iekšējā tirgū. Piekļuve atvērtajiem datiem tiek nodrošināta bez ekskluzivitātes un diskriminēšanas, un datu nodošanas darbības ir bezpeļņas.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līdz 2029. gada 31. decembrim ir sasniedzams šāds iznākuma rādītājs: pētniecības un inovācijas aprīkojuma nominālā vērtība – 2 700 000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Pasākumā līdz 2029. gada 31. decembrim ir uzkrājami dati par šādiem nacionālajiem rādītājiem: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Zinātnisko institūciju piesaistītais programmas “Apvārsnis Eiropa” finansējums līdz programmas “Apvārsnis Eiropa” noslēgumam – 150 000 000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EOSC nacionālā mezgla lietotāju (institūciju) skaits – vismaz 20;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Izveidots EOSC nacionālais mezgls ar tīkla, drošības pakalpojumu, datu izmantošanas rīku pārvaldības un meklēšanas vidi un datu drošās glabāšanas un apstrādes vidi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Izveidoti EOSC nacionāla mezgla datu izmantošanas pakalpojumi – vismaz 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Izveidoti EOSC nacionālā mezgla pārvaldības un drošības pakalpojumi – vismaz 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finansējuma saņēmējs uzkrāj RIS3 rādītājus par kopējiem  pētniecības un attīstības kapitālizdevumiem - ēkas, iekārtas, intelektuālā īpašuma tiesības, datoru programmatūra (euro). Pasākuma ietvaros pieejamais publiskais finansējums attiecas uz RIS3 informācijas un komunikācijas tehnoloģiju 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plānotais kopējais attiecināmais finansējums ir  21 750 002 euro (tai skaitā elastības finansējums – 5 007 778 euro), tai skaitā Eiropas Reģionālās attīstības fonda finansējums 18 487 501 euro (tai skaitā elastības finansējums – 4 256 611 euro) un valsts budžeta līdzfinansējums – 3 262 501 euro (tai skaitā elastības finansējums – 751 167 euro).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iesniegumā pasākuma īstenošanai kopējo pieejamo finansējumu plāno ne vairāk kā 16 742 224 euro apmērā, tai skaitā ERAF finansējumu – 14 230 890 euro apmērā un valsts budžeta līdzfinansējumu – 2 511 334 euro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Maksimālais Eiropas Reģionālās attīstības fonda finansējuma apmērs nepārsniedz 85 procentus no projekta kopējā attiecināmā finansējuma. Pārējo finansējumu – ne mazāk kā 15 procentus no kopējā projekta attiecināmā finansējuma – veido valsts budžeta līdzfinansējums.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1.janvāra palielināt pasākumam pieejamo kopējo finansējumu līdz šo noteikumu 10. punktā minētajam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Pasākumu īsteno ierobežotas projektu iesniegumu atlases veidā vienas atlases kārtas ietvaros. Projekta iesnieguma iesniegšanu izsludina vienu reizi par visu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Eiropas Reģionālās attīstības fonda finansējumu piešķir granta veidā.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ir biedrība, kura pilda pārvaldes uzdevumu izveidot un uzturēt augstākās izglītības un pētniecības digitālos pakalpojumus (turpmāk – Biedrība), kas sagatavo projekta iesniegumu un projektu iesniegumu atlases nolikumā noteiktajā kārtībā iesniedz to sadarbības iestādē, izmantojot Kohēzijas politikas fondu vadības informācijas sistēmas elektronisko vidi. Ja sadarbības iestāde apstiprina projekta iesniegumu, projekta iesniedzējs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saņēmējs projektu īsteno sadarbībā ar zinātnes universitātēm: Latvijas Biozinātņu un tehnoloģiju universitāti, Latvijas Universitāti, Rīgas Stradiņa universitāti un Rīgas Tehnisko universitāti. Finansējuma saņēmējs sadarbības partnerus iesaista šo noteikumu 21. punktā minēto atbalstāmo darbību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pirms projekta iesnieguma iesniegšanas sadarbības iestādē ar katru šo noteikumu 17. punktā minēto sadarbības partneri slēdz sadarbības līgumu atbilstoši normatīvajiem aktiem, kas nosaka kārtību, kādā Eiropas Savienības fondu vadībā iesaistītās institūcijas nodrošina šo fondu ieviešanu 2021.–2027. gada plānošanas periodā, tai skaitā paredzot sadarbības partnera atbildību un ieguldījumu pasākuma mērķa sasniegšanā, īstenojamās atbalstāmās darbības un sasniedzamos rādītājus.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lai nodrošinātu sekmīgu projekta īstenošanu, mērķu sasniegšanu un projektam piešķirto līdzekļu lietderīgu un efektīvu izlietošanu, kā arī apraksta, kādas darbības un uzraudzības instrumenti ir plānoti vai ieviesti projekta iesniedzēja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kvalitātes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sasniegtu pasākuma mērķi un nodrošinātu 7.2. apakšpunktā noteiktā nacionāla rādītāja izpildi, bez šo noteikumu 17. punktā projektā minētajiem sadarbības partneriem projekta iesniedzējs projekta īstenošanas darbības var veikt arī citās augstskolās vai pētniecības organizācijās.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ietvaros ir atbalstāmas šādas darbības: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EOSC nacionālā mezgla izveidošana, kas ietver ar EOSC Eiropas Savienības mezgla savienojama un tā federācijas noteikumiem atbilstošas infrastruktūras un datu izmantošanas pakalpojumu izstrādi, ieviešanu un nodrošināšanu;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EOSC nacionālā mezgla droša nacionālā pētniecības un akadēmiskā datu pārraides tīkla (turpmāk – tīkls) risinājuma izstrāde, ieviešana un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EOSC nacionālā mezgla un tīkla pārvaldības un drošības pakalpojumu, autorizācijas un autentifikācijas infrastruktūras un pakalpojumu, kā arī kiberdrošības atbilstības un kiberdrošības pakalpojumu izstrāde, ieviešana un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EOSC nacionālā mezgla pētniecības datu digitālo pakalpojumu, balstītu uz FAIR datu pārvaldības principiem, tai skaitā, datu un saistīto digitālo resursu un rīku koplietošanas un publiskošanas platformas, repozitoriju, datu drošās apstrādes vides, datu apstrādes rīku un programmatūras, datos balstītas pētniecības pārvaldības pakalpojumu, datu drošās uzglabāšanas un skaitļošanas resursu un pakalpojumu izstrāde, ieviešana un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Drošas virtuālas vides darbam ar datiem un rīkiem datu apstrādei un analīzei izstrāde, ieviešana un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EOSC nacionālā mezgla tīkla, kiberdrošības pakalpojumu, pētniecības datu digitālo pakalpojumu, datu, resursu un rīku pārvaldības, meklēšanas, un sadarbības vides (lietotāju un administratoru vides) izstrāde, ieviešana un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EOSC nacionālā mezgla uzturēšanas, pārvaldības, attīstības un atbalsta organizācijas, un sistēmas izveidošana, iekļaujot EOSC nacionālā mezgla monitoringa sistēmas izveidošanu un ieviešanu, atbalsta pakalpojumu, pārvaldības un attīstības funkciju izveidi un to nodrošināšanu projekta norises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pētniecības procesu saistītā sadarbības partneru personāla un pētniecības organizāciju personāla, kuri izmanto vai plāno izmantot EOSC nacionālā mezgla pakalpojumus, kompetenču pilnveide EOSC nacionālā mezgla pakalpojumu izmantošanas un zinātnes digitālās transformācijas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 komunikācijas un vizuālās identitātes prasību nodrošināšanas pasākumi.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21.1., 21.2., 21.3., 21.4., 21.5., 21.6., 21.7 apakšpunktos minēto sistēmu un pakalpojumu ieviešana ietver arī ar to izveidi un ieviešanu saistītā tehniskā aprīkojuma, programmatūras un citu licenču, un pakalpojumu (tajā skaitā mākoņpakalpojumu) iegādi vai nomu; pakalpojumu izstrādāšanu, pārbūvi, pielāgošanu, konfigurēšanu,  adaptāciju un testēšanu; sistēmu integrāciju (tajā skaitā savienošanu ar sistēmām citās institūcijās un valstīs), uzturēšanu un nodrošināšanu. Šajā punktā minētā licenču noma un pakalpojumu nodrošināšana atbalstāma projekta norises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21.1, 21.2., 21.3., 21.4., 21.5., 21.6., 21.7. apakšpunktos minēto sistēmu un pakalpojumu ieviešana ietver arī ar to izveidi un ieviešanu saistīto prasību un biznesa procesu analīzi un izstrādi; esošās situācijas analīzi un auditus; labāko prakšu analīzi; tehnoloģisko standartu, datu standartu un struktūru, procedūru un nosacījumu, pārvaldības pakalpojumu atlasi, izstrādi, pielāgošanu un ieviešanu; pakalpojumu tehnisko projektēšanu, izstrādi, sistēmu arhitektūras un integrāciju  izveidi; dokumentācijas sagatavošanu; biznesa procesu maiņu saistībā ar digitalizāciju (iekšējās procedūras un funkcijas) un jaunu funkciju un pakalpojumu izveidi; datu sagatavošanu, digitalizāciju, pārnešanu un pārvaldību; pētniecības organizāciju sadarbības procedūru izveidi digitalizēto pakalpojumu sniegšanai; pakalpojumu koplietošanas un sadarbības organizatorisko struktūru, sadarbības procedūru un nosacījumu izstrādi un ieviešanu EOSC nacionālajā mezglā un pētniecības organizācijās; reģistrēšanas un dalības maksu (projekta īstenošanas laikā) starptautiskajās organizācijās un tīklos, zinātniskā personāla, pētniecības organizāciju administratīvā personāla, sistēmu lietotāju un apkalpojošā personāla mācības un informēšanu par darbu ar EOSC nacionālā mezgla pakalpojumiem, ieskaitot pasākumus un materiālu sagatavošanu, reģistrēšanu vai dalību starptautiskajās organizācijās un tīklos, lai nodrošinātu starptautisku sadarbību un datu apmaiņu.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Pasākumā ir šādi izmaksu 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24.1. 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21.9. un 21.10. apakšpunktā minēto atbalstāmo darbību īstenošanai, kas ir attiecināmas kā faktiskās izmaksas, paredzot projekta vadības personāla izmaksu ierobežojumu līdz 84 787 euro kalendārajā gadā.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tai skaitā ekspertu, speciālistu, konsultantu, tostarp ārvalstu, atlīdzības izmaksas, izņemot virsstundas, šo noteikumu 21.1., 21.2., 21.3., 21.4., 21.5., 21.6., 21.7., 21.8. un 21.9. punktā minēto darbību īstenošanai, kas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licenču iegādes vai nomas izmaksas, aprīkojuma uzturēšanas un remonta izmaksas vai esošo darba vietu atjaunošanas izmaksas finansējuma saņēmējam, ja esošo darba vietu aprīkojums ir nolietojies un tiek norakstīts, ne vairāk kā 3000 euro vienai darba vietai visā projekta īstenošanas laikā, ja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braucienu izmaksas finansējuma saņēmējam un sadarbības partneriem šo noteikumu 21. punktā minētās atbalstāmās darbības īstenošanai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komandējumu izmaksas finansējuma saņēmēja un sadarbības partneru projekta īstenošanas personālam, šo noteikumu 21. punktā minētās atbalstāmās darbības īstenošanai atbilstoši normatīvajiem aktiem, kas nosaka kārtību, kādā atlīdzināmi ar komandējumiem saistītie izdevumi, ja tās ir skaidri saistāmas ar projekta rezultāta sasniegšanu;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(maksa par degvielu, maksa par sabiedriskā transporta izmantošanu) finansējuma saņēmējam un sadarbības partneriem, šo noteikumu 21. punktā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pārējās transporta pakalpojumu izmaksas (transportlīdzekļu noma, transporta pakalpojumu pirkšana) finansējuma saņēmēja projekta īstenošanas un vadības personālam šo noteikumu 21. punktā minētās atbalstāmās darbības īstenošanai;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apmācību, semināru, diskusiju un pieredzes apmaiņas pasākumu organizēšanu un īstenošanu saistītās izmaksas finansējuma saņēmējam, tai skaitā telpu īres izmaksas (ja projekta aktivitāšu īstenošanai nepieciešams īrēt telpas ārpus finansējuma saņēmēja vai projekta īstenošanas sadarbības partnera juridiskās un faktiskās uzturēšanās adreses) un izdales materiālu nodrošinājuma un publicēšanas izmaksas, dalībnieku piesaistes un reprezentācijas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pakalpojumu un piegādes izmaksas finansējuma saņēmējam un sadarbības partneriem šo noteikumu 21.1., 21.2., 21.3., 21.4., 21.5., 21.6., 21.7. un 21.8. 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licenču iegādes izmaksas finansējuma saņēmējam un sadarbības partneriem, tai skaitā licenču atjauninājumu iegādes izmaksas šo noteikumu 21.1., 21.2., 21.3., 21.4., 21.5., 21.6., 21.7. un 21.8. punktā minēto atbalstāmo darbību īstenošanai licenču darbības periodā, kas nepārsniedz projekta īstenošanas laiku;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ārvalstu ekspertu piesaistes izmaksas (t.sk. ekspertu komandējuma izdevumu segšanu) finansējuma saņēmējam šo noteikumu 21.1., 21.2., 21.3., 21.4., 21.5., 21.6., 21.7. un 21.8. 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komunikācijas un vizuālās identitātes prasību nodrošināšanas pasākumu izmaksas šo noteikumu 21.10. apakšpunktā minētās atbalstāmās darbības  īstenošanai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47. pantu un 50. pantu un normatīviem aktiem par Kārtību, kādā Eiropas Savienības fondu vadībā iesaistītās institūcijas nodrošina šo fondu ieviešanu 2021.–2027.gada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24.2 apakšpunktā minētās netiešās attiecināmās izmaksas plāno kā vienu izmaksu pozīciju, piemērojot netiešo izmaksu vienoto likmi 15 procentu apmērā no šo noteikumu 25.1. apakšpunktā minētajām tiešajām personāla izmaksām, kas radušās uz darba līguma pamata.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Pievienotās vērtības nodoklis, kas tiešā veidā saistīts ar projektu, un ja tas nav atgūstams saskaņā ar valsts tiesību aktiem pievienotās vērtības nodokļa jomā, uzskatāms par attiecināmām izmaksām saskaņā ar Regulas Nr. 2021/1060 64. panta 1. punkta "c" apakšpunktā ietvertajiem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saņēmējam izmaksas ir attiecināmas, ja tās atbilst šajos noteikumos minētajām izmaksu pozīcijām un ir radušās no šo noteikumu apstiprināšanas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17. punktā minētajiem sadarbības partneriem izmaksas ir attiecināmas pēc šo noteikumu 18. punktā minētā sadarbības līguma noslēgšanas, ja tās atbilst šajos noteikumos minētajām izmaksu pozīcijām un ir radušās no šo noteikumu apstiprināšanas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Saskaņā ar līgumu par projekta īstenošanu finansējuma saņēmējam ir paredzēts avanss, to var izmaksāt pa daļām. Viens avansa maksājums nepārsniedz 30 procentus no projektam piešķirtā  finansējuma un valsts budžeta līdzfinansējuma kopsummas. Avansa un starpposma maksājumu kopsumma var būt 95 procenti no projektam piešķirtā ERAF un valsts budžeta līdzfinansējuma kopsummas.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projektu īsteno saskaņā ar līgumu par projekta īstenošanu, kas noslēgta starp finansējuma saņēmēju un sadarbības iestādi, bet ne ilgāk kā līdz 2029. gada 30. novembrim.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īstenošanas uzraudzībai finansējuma saņēmējs izveido projekta uzraudzības padomi, kuras sastāvā iekļauj Izglītības un zinātnes ministrijas, Latvijas Zinātnes padomes, Viedās administrācijas un reģionālās attīstības ministrijas, Ekonomikas ministrijas pārstāvjus. Projekta uzraudzības padomes sastāvā novērotāju statusā var iekļaut pārstāvjus arī no citām institūcijām, tai skaitā no sadarbības partneriem. Padomes darbību nosaka finansējuma saņēmēja izstrādāts un apstiprināts nolikums. Pirmo projekta uzraudzības padomes sēdi sasauc ne vēlāk kā trīs mēnešus pēc vienošanās par projekta īstenošanu noslēgšanas.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vismaz vienu reizi sešos mēnešos projekta uzraudzības padomei iesniedz ziņojumu par projekta īstenošanas progresu, tai skaitā par īstenotajiem mērķa grupas informēšanas pasākumiem, šo noteikumu 7. un 8. punktā minēto rādītāju sasniegtajām vērtībām un prezentē projekta rezultātus projekta uzraudzības padomē. Pirmajā projekta uzraudzības padomes sēdē finansējuma saņēmējs prezentē projekta kvalitātes vadības sistēmu, tostarp par atgriezeniskās saites sniegšanu un nepieciešamo izmaiņu ieviešanu, balstoties uz kvalitātes vadības monitoringa rezultātiem. Projekta uzraudzības padome var uzdot finansējuma saņēmējam veikt izmaiņas projekta īstenošanas gaitā, ja konstatēti riski projekta ieviešanas kvalitātē.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Publiskos iepirkumus finansējuma saņēmējs un sadarbības partneri veic atklātā, pārredzamā, konkurenci nodrošinošā, ja vien tas ir iespējams, sociāli atbildīgā veidā un saskaņā ar normatīvajiem aktiem publisko iepirkumu jomā, ievērojot nediskriminācijas principus. Projekta ietvaros ir atbalstāma vides prasību un inovatīvu pakalpojumu integrēšana preču un pakalpojuma iepirkumos (zaļais publiskais iepirkums, inovāciju publiskais iepirkums un sociāli atbildīgs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prasības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pieejama, bet ne retāk kā reizi sešos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uzkrāj datus par šo noteikumu 7. un 8. punktā  minētajiem rādītājiem.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un sadarbības partneri nodrošina interešu konflikta neesamību saskaņā ar Eiropas Parlamenta un Padomes 2024. gada 23. septembra Regulas (ES, Euratom) 2024/2509 par finanšu noteikumiem, ko piemēro Savienības vispārējam budžetam (pārstrādāta redakcija) 61. panta prasībām un normatīvajiem aktiem publisko iepirkumu jomā, kā arī paraksta interešu konflikta neesamības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un sadarbības partneri projekta īstenošanā nodrošina nepārklāšanās principu ar citiem valsts un ārvalstu finanšu atbalsta instrumentiem un dubultā finansējuma neiestāšanos.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 un nodrošinot demarkāciju ar citiem līdzīgiem vai saistītiem projektiem.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izstrādā projekta izmaksu un ieguvumu analīzi, ko pievieno projekta iesniegumam. Izmaksu un ieguvumu analīzei jāparāda, ka  projekta kopējie ieguvumi un ietaupījumi ir lielāki par projekta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un sadarbības partneris nodrošina projekta īstenošanas finanšu plūsmas un darbību veidu skaidru nodalīšanu no citu finansējuma saņēmēja un sadarbības partnera darbību finanšu plūsmām un darbību veidiem, tai skaitā novēršot dubultā finansējuma risku un pārklāšanās ar citiem valsts un ārvalstu finanšu instrumentiem risku.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saņēmējam un sadarbības partnerim ir pienākums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projekta īstenošanas gaitā radies izmaksu sadārdzinājums, finansējuma saņēmējs to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Pēc projekta ieviešanas, projektā izveidotais EOSC nacionālais mezgls un koplietošanas pakalpojumi datu izmantošanai ir pieejami izmantošanai visai pasākuma mērķa grupai.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24-TA-3298</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24-TA-3298</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noteikumu_projekts_24-TA-3298.docx</dc:title>
</cp:coreProperties>
</file>

<file path=docProps/custom.xml><?xml version="1.0" encoding="utf-8"?>
<Properties xmlns="http://schemas.openxmlformats.org/officeDocument/2006/custom-properties" xmlns:vt="http://schemas.openxmlformats.org/officeDocument/2006/docPropsVTypes"/>
</file>