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14.07.2020. noteikumiem Nr. 433; 1.2.10. apakšpunktu piemēro no 01.07.2020. pacientiem, kas līdz 30.06.2020. ir saņēmuši enterālās un parenterālās barošanas maisījumus; sk. noteikumu 249.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w:t>
      </w:r>
      <w:r>
        <w:tab/>
      </w:r>
      <w:r>
        <w:br/>
      </w:r>
      <w:r>
        <w:tab/>
      </w:r>
      <w:r>
        <w:br/>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r>
        <w:tab/>
      </w:r>
      <w:r>
        <w:br/>
      </w:r>
      <w:r>
        <w:tab/>
      </w:r>
      <w:r>
        <w:br/>
      </w:r>
      <w:r w:rsidR="00000000" w:rsidRPr="00000000" w:rsidDel="00000000">
        <w:rPr>
          <w:rtl w:val="0"/>
        </w:rPr>
        <w:t xml:space="preserve">1.2. iepirkuma pasūtītāja un maksātāja statusā par šādu zāļu, standarta tuberkulīna, medicīnisko ierīču un noteiktās grupās ietilpstošu pārtikas produktu piegādi:</w:t>
      </w:r>
      <w:r>
        <w:tab/>
      </w:r>
      <w:r>
        <w:br/>
      </w:r>
      <w:r>
        <w:tab/>
      </w:r>
      <w:r>
        <w:br/>
      </w:r>
      <w:r w:rsidR="00000000" w:rsidRPr="00000000" w:rsidDel="00000000">
        <w:rPr>
          <w:rtl w:val="0"/>
        </w:rPr>
        <w:t xml:space="preserve">1.2.1. vakcīnas atbilstoši normatīvajiem aktiem par vakcinācijas noteikumiem;</w:t>
      </w:r>
      <w:r>
        <w:tab/>
      </w:r>
      <w:r>
        <w:br/>
      </w:r>
      <w:r>
        <w:tab/>
      </w:r>
      <w:r>
        <w:br/>
      </w:r>
      <w:r w:rsidR="00000000" w:rsidRPr="00000000" w:rsidDel="00000000">
        <w:rPr>
          <w:rtl w:val="0"/>
        </w:rPr>
        <w:t xml:space="preserve">1.2.2. šļirces vakcīnas pret tuberkulozi (BCG) ievadei;</w:t>
      </w:r>
      <w:r>
        <w:tab/>
      </w:r>
      <w:r>
        <w:br/>
      </w:r>
      <w:r>
        <w:tab/>
      </w:r>
      <w:r>
        <w:br/>
      </w:r>
      <w:r w:rsidR="00000000" w:rsidRPr="00000000" w:rsidDel="00000000">
        <w:rPr>
          <w:rtl w:val="0"/>
        </w:rPr>
        <w:t xml:space="preserve">1.2.3. standarta tuberkulīns;</w:t>
      </w:r>
      <w:r>
        <w:tab/>
      </w:r>
      <w:r>
        <w:br/>
      </w:r>
      <w:r>
        <w:tab/>
      </w:r>
      <w:r>
        <w:br/>
      </w:r>
      <w:r w:rsidR="00000000" w:rsidRPr="00000000" w:rsidDel="00000000">
        <w:rPr>
          <w:rtl w:val="0"/>
        </w:rPr>
        <w:t xml:space="preserve">1.2.4. fenilketonūrijas un citu iedzimto vielmaiņas slimību korekcijas produkti;</w:t>
      </w:r>
      <w:r>
        <w:tab/>
      </w:r>
      <w:r>
        <w:br/>
      </w:r>
      <w:r>
        <w:tab/>
      </w:r>
      <w:r>
        <w:br/>
      </w:r>
      <w:r w:rsidR="00000000" w:rsidRPr="00000000" w:rsidDel="00000000">
        <w:rPr>
          <w:rtl w:val="0"/>
        </w:rPr>
        <w:t xml:space="preserve">1.2.5. peritoneālās dialīzes nodrošinājuma ārstniecības līdzekļi (šķīdumi un piederumi);</w:t>
      </w:r>
      <w:r>
        <w:tab/>
      </w:r>
      <w:r>
        <w:br/>
      </w:r>
      <w:r>
        <w:tab/>
      </w:r>
      <w:r>
        <w:br/>
      </w:r>
      <w:r w:rsidR="00000000" w:rsidRPr="00000000" w:rsidDel="00000000">
        <w:rPr>
          <w:rtl w:val="0"/>
        </w:rPr>
        <w:t xml:space="preserve">1.2.6. redzes korekcijas līdzekļi bērniem atbilstoši šo noteikumu 4.11.1.1. apakšpunktā minētajiem nosacījumiem;</w:t>
      </w:r>
      <w:r>
        <w:tab/>
      </w:r>
      <w:r>
        <w:br/>
      </w:r>
      <w:r>
        <w:tab/>
      </w:r>
      <w:r>
        <w:br/>
      </w:r>
      <w:r w:rsidR="00000000" w:rsidRPr="00000000" w:rsidDel="00000000">
        <w:rPr>
          <w:rtl w:val="0"/>
        </w:rPr>
        <w:t xml:space="preserve">1.2.7. imūnserumi un specifiskie imūnglobulīni;</w:t>
      </w:r>
      <w:r>
        <w:tab/>
      </w:r>
      <w:r>
        <w:br/>
      </w:r>
      <w:r>
        <w:tab/>
      </w:r>
      <w:r>
        <w:br/>
      </w:r>
      <w:r w:rsidR="00000000" w:rsidRPr="00000000" w:rsidDel="00000000">
        <w:rPr>
          <w:rtl w:val="0"/>
        </w:rPr>
        <w:t xml:space="preserve">1.2.8. mākslīgie maisījumi zīdaiņiem un mākslīgie papildu ēdināšanas maisījumi bērniem līdz gada vecumam, kuri dzimuši HIV inficētām mātēm;</w:t>
      </w:r>
      <w:r>
        <w:tab/>
      </w:r>
      <w:r>
        <w:br/>
      </w:r>
      <w:r>
        <w:tab/>
      </w:r>
      <w:r>
        <w:br/>
      </w:r>
      <w:r w:rsidR="00000000" w:rsidRPr="00000000" w:rsidDel="00000000">
        <w:rPr>
          <w:rtl w:val="0"/>
        </w:rPr>
        <w:t xml:space="preserve">1.2.9. kolorektālā vēža skrīninga testa komplekti;</w:t>
      </w:r>
      <w:r>
        <w:tab/>
      </w:r>
      <w:r>
        <w:br/>
      </w:r>
      <w:r>
        <w:tab/>
      </w:r>
      <w:r>
        <w:br/>
      </w:r>
      <w:r w:rsidR="00000000" w:rsidRPr="00000000" w:rsidDel="00000000">
        <w:rPr>
          <w:rtl w:val="0"/>
        </w:rPr>
        <w:t xml:space="preserve">1.2.10. enterālās un parenterālās barošanas maisījumi un to ievadei nepieciešamās medicīniskās ierīces pieaugušiem pacientiem atbilstoši šo noteikumu 4.11.1.2. apakšpunktā minētajiem nosacījumiem.</w:t>
      </w:r>
      <w:r>
        <w:tab/>
      </w:r>
      <w:r>
        <w:br/>
      </w:r>
      <w:r>
        <w:tab/>
      </w:r>
      <w:r>
        <w:br/>
      </w:r>
      <w:r w:rsidR="00000000" w:rsidRPr="00000000" w:rsidDel="00000000">
        <w:rPr>
          <w:rtl w:val="0"/>
        </w:rPr>
        <w:t xml:space="preserve">2. Dienests iepērk parenterāli ievadāmās zāles, ievērojot šādus nosacījumus:</w:t>
      </w:r>
      <w:r>
        <w:tab/>
      </w:r>
      <w:r>
        <w:br/>
      </w:r>
      <w:r>
        <w:tab/>
      </w:r>
      <w:r>
        <w:br/>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r>
        <w:tab/>
      </w:r>
      <w:r>
        <w:br/>
      </w:r>
      <w:r>
        <w:tab/>
      </w:r>
      <w:r>
        <w:br/>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r>
        <w:tab/>
      </w:r>
      <w:r>
        <w:br/>
      </w:r>
      <w:r>
        <w:tab/>
      </w:r>
      <w:r>
        <w:br/>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r>
        <w:tab/>
      </w:r>
      <w:r>
        <w:br/>
      </w:r>
      <w:r>
        <w:tab/>
      </w:r>
      <w:r>
        <w:br/>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r>
        <w:tab/>
      </w:r>
      <w:r>
        <w:br/>
      </w:r>
      <w:r>
        <w:tab/>
      </w:r>
      <w:r>
        <w:br/>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r>
        <w:tab/>
      </w:r>
      <w:r>
        <w:br/>
      </w:r>
      <w:r>
        <w:tab/>
      </w:r>
      <w:r>
        <w:br/>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r>
        <w:tab/>
      </w:r>
      <w:r>
        <w:br/>
      </w:r>
      <w:r>
        <w:tab/>
      </w:r>
      <w:r>
        <w:br/>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r>
        <w:tab/>
      </w:r>
      <w:r>
        <w:br/>
      </w:r>
      <w:r>
        <w:tab/>
      </w:r>
      <w:r>
        <w:br/>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r>
        <w:tab/>
      </w:r>
      <w:r>
        <w:br/>
      </w:r>
      <w:r>
        <w:tab/>
      </w:r>
      <w:r>
        <w:br/>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noteikumu_konsolidētā_versija_p8_22-TA-3720.docx</dc:title>
</cp:coreProperties>
</file>

<file path=docProps/custom.xml><?xml version="1.0" encoding="utf-8"?>
<Properties xmlns="http://schemas.openxmlformats.org/officeDocument/2006/custom-properties" xmlns:vt="http://schemas.openxmlformats.org/officeDocument/2006/docPropsVTypes"/>
</file>