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12. maijā (prot. Nr. 27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(Latvijas Vēstnesis, 2024, 64., 108. nr.; 2025, 117.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pirmo un otro atlases kārtu īsteno līdz 2027. gada 31. decembrim, sasniedzot iznākuma rādītāju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49 900 hektāri (pirmajā atlases kārtā – 32 900 hektāri, otrajā atlases kārtā – 17 000 hektāri)."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 ar projekta darbībām tieši saistīto komunikācijas un vizuālās identitātes prasību nodrošināšanas izmaksas, nepārsniedzot vienu procentu no plānotajām projekta kopējām tiešajām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Neparedzētie izdevumi nepārsniedz trīs procentus no plānotajām projekta kopējām tiešajām attiecināmajām izmaksām. Neparedzēto izdevumu izlietošanu finansējuma saņēmējs saskaņo ar sadarbības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"37.7. izstrādā nosacījumus, kā arī pārliecinās par interešu konflikta, krāpšanas un korupcijas risku neesību, tostarp identificē apstākļus, kas izraisa vai var izraisīt interešu konfliktu un krāpšanas un korupcijas riskus, kas rada apdraudējumu vai kaitējumu projekta īstenošanā, nosaka veicamos pasākumus un izstrādā darbības plānu interešu konflikta preventīvai novēršanai un gadījumiem, kad interešu konflikts ir atklāts, kā arī paraksta apliecinājumu par interešu konflikta neesību;".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26-TA-22</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26-TA-22</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noteikumu_(grozījumu)_projekts_26-TA-22.docx</dc:title>
</cp:coreProperties>
</file>

<file path=docProps/custom.xml><?xml version="1.0" encoding="utf-8"?>
<Properties xmlns="http://schemas.openxmlformats.org/officeDocument/2006/custom-properties" xmlns:vt="http://schemas.openxmlformats.org/officeDocument/2006/docPropsVTypes"/>
</file>